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方正小标宋简体" w:hAnsi="仿宋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0"/>
          <w:szCs w:val="40"/>
        </w:rPr>
        <w:t>职业</w:t>
      </w:r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生涯</w:t>
      </w:r>
      <w:r>
        <w:rPr>
          <w:rFonts w:hint="eastAsia" w:ascii="方正小标宋简体" w:hAnsi="仿宋" w:eastAsia="方正小标宋简体"/>
          <w:sz w:val="40"/>
          <w:szCs w:val="40"/>
        </w:rPr>
        <w:t>规划书</w:t>
      </w:r>
    </w:p>
    <w:p>
      <w:pPr>
        <w:spacing w:line="720" w:lineRule="auto"/>
        <w:rPr>
          <w:rFonts w:ascii="仿宋" w:hAnsi="仿宋" w:eastAsia="仿宋"/>
          <w:sz w:val="28"/>
          <w:szCs w:val="28"/>
        </w:rPr>
      </w:pPr>
    </w:p>
    <w:p>
      <w:pPr>
        <w:spacing w:line="72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720" w:lineRule="auto"/>
        <w:ind w:firstLine="1363" w:firstLineChars="485"/>
        <w:jc w:val="left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姓    名：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  </w:t>
      </w:r>
    </w:p>
    <w:p>
      <w:pPr>
        <w:tabs>
          <w:tab w:val="left" w:pos="7655"/>
          <w:tab w:val="left" w:pos="7938"/>
        </w:tabs>
        <w:spacing w:line="720" w:lineRule="auto"/>
        <w:ind w:firstLine="1363" w:firstLineChars="485"/>
        <w:jc w:val="left"/>
        <w:rPr>
          <w:rFonts w:hint="eastAsia" w:ascii="仿宋_GB2312" w:hAnsi="仿宋" w:eastAsia="仿宋_GB2312"/>
          <w:sz w:val="28"/>
          <w:szCs w:val="28"/>
          <w:u w:val="single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职业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目标</w:t>
      </w:r>
      <w:r>
        <w:rPr>
          <w:rFonts w:hint="eastAsia" w:ascii="仿宋_GB2312" w:hAnsi="仿宋" w:eastAsia="仿宋_GB2312"/>
          <w:b/>
          <w:sz w:val="28"/>
          <w:szCs w:val="28"/>
        </w:rPr>
        <w:t>：</w:t>
      </w:r>
      <w:r>
        <w:rPr>
          <w:rFonts w:hint="eastAsia" w:ascii="仿宋_GB2312" w:hAnsi="仿宋"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tabs>
          <w:tab w:val="right" w:pos="8504"/>
        </w:tabs>
        <w:spacing w:line="720" w:lineRule="auto"/>
        <w:ind w:firstLine="1363" w:firstLineChars="485"/>
        <w:jc w:val="left"/>
        <w:rPr>
          <w:rFonts w:ascii="仿宋_GB2312" w:hAnsi="仿宋" w:eastAsia="仿宋_GB2312"/>
          <w:b/>
          <w:sz w:val="28"/>
          <w:szCs w:val="28"/>
          <w:u w:val="single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所属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学院</w:t>
      </w:r>
      <w:r>
        <w:rPr>
          <w:rFonts w:hint="eastAsia" w:ascii="仿宋_GB2312" w:hAnsi="仿宋" w:eastAsia="仿宋_GB2312"/>
          <w:b/>
          <w:sz w:val="28"/>
          <w:szCs w:val="28"/>
        </w:rPr>
        <w:t>：</w:t>
      </w:r>
      <w:r>
        <w:rPr>
          <w:rFonts w:hint="eastAsia" w:ascii="仿宋_GB2312" w:hAnsi="仿宋"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spacing w:line="720" w:lineRule="auto"/>
        <w:ind w:firstLine="1363" w:firstLineChars="485"/>
        <w:jc w:val="left"/>
        <w:rPr>
          <w:rFonts w:ascii="仿宋_GB2312" w:hAnsi="仿宋" w:eastAsia="仿宋_GB2312"/>
          <w:b/>
          <w:sz w:val="28"/>
          <w:szCs w:val="28"/>
          <w:u w:val="single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专业班级</w:t>
      </w:r>
      <w:r>
        <w:rPr>
          <w:rFonts w:hint="eastAsia" w:ascii="仿宋_GB2312" w:hAnsi="仿宋" w:eastAsia="仿宋_GB2312"/>
          <w:b/>
          <w:sz w:val="28"/>
          <w:szCs w:val="28"/>
        </w:rPr>
        <w:t>：</w:t>
      </w:r>
      <w:r>
        <w:rPr>
          <w:rFonts w:hint="eastAsia" w:ascii="仿宋_GB2312" w:hAnsi="仿宋"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tabs>
          <w:tab w:val="left" w:pos="7655"/>
          <w:tab w:val="left" w:pos="7938"/>
        </w:tabs>
        <w:spacing w:line="720" w:lineRule="auto"/>
        <w:ind w:firstLine="1363" w:firstLineChars="485"/>
        <w:jc w:val="left"/>
        <w:rPr>
          <w:rFonts w:hint="eastAsia" w:ascii="仿宋_GB2312" w:hAnsi="仿宋" w:eastAsia="仿宋_GB2312"/>
          <w:b/>
          <w:sz w:val="28"/>
          <w:szCs w:val="28"/>
          <w:u w:val="single"/>
        </w:rPr>
      </w:pPr>
      <w:r>
        <w:rPr>
          <w:rFonts w:hint="eastAsia" w:ascii="仿宋_GB2312" w:hAnsi="仿宋" w:eastAsia="仿宋_GB2312"/>
          <w:b/>
          <w:sz w:val="28"/>
          <w:szCs w:val="28"/>
        </w:rPr>
        <w:t>联系方式：</w:t>
      </w:r>
      <w:r>
        <w:rPr>
          <w:rFonts w:hint="eastAsia" w:ascii="仿宋_GB2312" w:hAnsi="仿宋"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tabs>
          <w:tab w:val="left" w:pos="7655"/>
          <w:tab w:val="left" w:pos="7938"/>
        </w:tabs>
        <w:spacing w:line="720" w:lineRule="auto"/>
        <w:ind w:firstLine="1363" w:firstLineChars="485"/>
        <w:jc w:val="left"/>
        <w:rPr>
          <w:rFonts w:hint="eastAsia" w:ascii="仿宋_GB2312" w:hAnsi="仿宋" w:eastAsia="仿宋_GB2312"/>
          <w:b/>
          <w:sz w:val="28"/>
          <w:szCs w:val="28"/>
          <w:u w:val="single"/>
        </w:rPr>
      </w:pPr>
      <w:r>
        <w:rPr>
          <w:rFonts w:hint="eastAsia" w:ascii="仿宋_GB2312" w:hAnsi="仿宋" w:eastAsia="仿宋_GB2312"/>
          <w:b/>
          <w:sz w:val="28"/>
          <w:szCs w:val="28"/>
          <w:u w:val="none"/>
          <w:lang w:val="en-US" w:eastAsia="zh-CN"/>
        </w:rPr>
        <w:t>指导老师：</w:t>
      </w:r>
      <w:r>
        <w:rPr>
          <w:rFonts w:hint="eastAsia" w:ascii="仿宋_GB2312" w:hAnsi="仿宋" w:eastAsia="仿宋_GB2312"/>
          <w:b/>
          <w:sz w:val="28"/>
          <w:szCs w:val="28"/>
          <w:u w:val="single"/>
        </w:rPr>
        <w:t xml:space="preserve">                            </w:t>
      </w:r>
    </w:p>
    <w:p>
      <w:pPr>
        <w:tabs>
          <w:tab w:val="left" w:pos="7655"/>
          <w:tab w:val="left" w:pos="7938"/>
        </w:tabs>
        <w:spacing w:line="720" w:lineRule="auto"/>
        <w:ind w:firstLine="1363" w:firstLineChars="485"/>
        <w:jc w:val="left"/>
        <w:rPr>
          <w:rFonts w:hint="eastAsia" w:ascii="仿宋_GB2312" w:hAnsi="仿宋" w:eastAsia="仿宋_GB2312"/>
          <w:b/>
          <w:sz w:val="28"/>
          <w:szCs w:val="28"/>
          <w:u w:val="none"/>
          <w:lang w:val="en-US" w:eastAsia="zh-CN"/>
        </w:rPr>
      </w:pPr>
    </w:p>
    <w:p>
      <w:pPr>
        <w:spacing w:line="48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418" w:right="1701" w:bottom="1418" w:left="1701" w:header="851" w:footer="992" w:gutter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填写说明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大学生生涯</w:t>
      </w:r>
      <w:r>
        <w:rPr>
          <w:rFonts w:hint="eastAsia" w:ascii="仿宋_GB2312" w:hAnsi="仿宋" w:eastAsia="仿宋_GB2312"/>
          <w:bCs/>
          <w:sz w:val="28"/>
          <w:szCs w:val="28"/>
        </w:rPr>
        <w:t>规划书以近期目标规划为主，即大学学业生涯规划和毕业后3年内的职业生涯规划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包含自我认知和探索、职业探索、职业决策、制定行动计划等方面的内容。参赛选手在我校“大学生职业规划与测评系统”中完成测评后，完善职业探索、决策行动的内容，就</w:t>
      </w:r>
      <w:r>
        <w:rPr>
          <w:rFonts w:hint="eastAsia" w:ascii="仿宋_GB2312" w:hAnsi="仿宋" w:eastAsia="仿宋_GB2312"/>
          <w:bCs/>
          <w:color w:val="FF0000"/>
          <w:sz w:val="28"/>
          <w:szCs w:val="28"/>
          <w:highlight w:val="yellow"/>
          <w:lang w:val="en-US" w:eastAsia="zh-CN"/>
        </w:rPr>
        <w:t>可生成完整的生涯规划书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，无需额外再写。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仿宋_GB2312" w:hAnsi="仿宋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测评系统登录方式有两种：其一在湖南科技学院就业创业网点击“大学生职业规划与测评系统”（</w:t>
      </w:r>
      <w:r>
        <w:rPr>
          <w:rFonts w:hint="eastAsia" w:ascii="仿宋_GB2312" w:hAnsi="仿宋" w:eastAsia="仿宋_GB2312"/>
          <w:bCs/>
          <w:sz w:val="28"/>
          <w:szCs w:val="28"/>
        </w:rPr>
        <w:fldChar w:fldCharType="begin"/>
      </w:r>
      <w:r>
        <w:rPr>
          <w:rFonts w:hint="eastAsia" w:ascii="仿宋_GB2312" w:hAnsi="仿宋" w:eastAsia="仿宋_GB2312"/>
          <w:bCs/>
          <w:sz w:val="28"/>
          <w:szCs w:val="28"/>
        </w:rPr>
        <w:instrText xml:space="preserve"> HYPERLINK "http://huse.careersky.cn/" \t "http://www.careersky.cn/guanli/_blank" </w:instrText>
      </w:r>
      <w:r>
        <w:rPr>
          <w:rFonts w:hint="eastAsia" w:ascii="仿宋_GB2312" w:hAnsi="仿宋" w:eastAsia="仿宋_GB2312"/>
          <w:bCs/>
          <w:sz w:val="28"/>
          <w:szCs w:val="28"/>
        </w:rPr>
        <w:fldChar w:fldCharType="separate"/>
      </w:r>
      <w:r>
        <w:rPr>
          <w:rFonts w:hint="eastAsia" w:ascii="仿宋_GB2312" w:hAnsi="仿宋" w:eastAsia="仿宋_GB2312"/>
          <w:bCs/>
          <w:sz w:val="28"/>
          <w:szCs w:val="28"/>
        </w:rPr>
        <w:t>http://huse.careersky.cn/</w:t>
      </w:r>
      <w:r>
        <w:rPr>
          <w:rFonts w:hint="eastAsia" w:ascii="仿宋_GB2312" w:hAnsi="仿宋" w:eastAsia="仿宋_GB2312"/>
          <w:bCs/>
          <w:sz w:val="28"/>
          <w:szCs w:val="28"/>
        </w:rPr>
        <w:fldChar w:fldCharType="end"/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）登录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bCs/>
          <w:sz w:val="28"/>
          <w:szCs w:val="28"/>
          <w:lang w:val="en-US" w:eastAsia="zh-CN"/>
        </w:rPr>
        <w:t>其二微信搜索小程序“北森吉讯测评系统”登录，初始账号为本人学号，密码为111111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480" w:lineRule="exact"/>
        <w:ind w:firstLine="551" w:firstLineChars="196"/>
        <w:jc w:val="left"/>
        <w:textAlignment w:val="auto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一、自我认知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借助职业测评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自我反省、他人评价等方法，对自身性格，能力，兴趣、特长、学识、情商、智商等方面进行自我探索。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二、职业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探索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利用生涯人物访谈、书报等出版物、行业调研、实习兼职实践、网络信息等获取职业信息的渠道搜索职业信息，进行职业探索。 职业调查结果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可包括：目标职位行业分析、</w:t>
      </w:r>
      <w:r>
        <w:rPr>
          <w:rFonts w:hint="eastAsia" w:ascii="仿宋" w:hAnsi="仿宋" w:eastAsia="仿宋" w:cs="仿宋"/>
          <w:sz w:val="28"/>
          <w:szCs w:val="28"/>
        </w:rPr>
        <w:t>目标职位主要职责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与岗位要求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职位晋升路径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对目标职位的满意程度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等方面。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480" w:lineRule="exact"/>
        <w:ind w:firstLine="551" w:firstLineChars="196"/>
        <w:jc w:val="left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三、职业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决策</w:t>
      </w:r>
    </w:p>
    <w:p>
      <w:pPr>
        <w:pStyle w:val="6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jc w:val="left"/>
        <w:textAlignment w:val="auto"/>
        <w:rPr>
          <w:rFonts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需运用科学的决策方法予以定位，比如</w:t>
      </w:r>
      <w:r>
        <w:rPr>
          <w:rFonts w:hint="eastAsia" w:ascii="仿宋_GB2312" w:hAnsi="仿宋" w:eastAsia="仿宋_GB2312"/>
          <w:bCs/>
          <w:sz w:val="28"/>
          <w:szCs w:val="28"/>
        </w:rPr>
        <w:t>通过SWOT分析法、生涯决策平衡单、基准线法等方式，综合运用推理、比较和数据资料进行职业目标的决策定位。</w:t>
      </w:r>
    </w:p>
    <w:p>
      <w:pPr>
        <w:pStyle w:val="6"/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480" w:lineRule="exact"/>
        <w:ind w:firstLine="551" w:firstLineChars="196"/>
        <w:jc w:val="left"/>
        <w:textAlignment w:val="auto"/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四、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行动计划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</w:pPr>
      <w:r>
        <w:rPr>
          <w:rFonts w:hint="eastAsia" w:ascii="仿宋_GB2312" w:hAnsi="仿宋" w:eastAsia="仿宋_GB2312"/>
          <w:sz w:val="28"/>
          <w:szCs w:val="28"/>
        </w:rPr>
        <w:t>根据所做的职业决策，采用有效的方法对目标进行合理的分解，并制定学业生涯发展计划及毕业后3内的职业适应计划。</w:t>
      </w:r>
      <w:r>
        <w:rPr>
          <w:rFonts w:eastAsia="仿宋_GB2312"/>
          <w:sz w:val="28"/>
          <w:szCs w:val="28"/>
        </w:rPr>
        <w:t>应突出大学期间专业知识学习、职业技能提高的方案设计，并注重对各种资源（如知识资源、人脉资源、资金资源等）的积累方式和途径</w:t>
      </w:r>
      <w:r>
        <w:rPr>
          <w:rFonts w:hint="eastAsia" w:eastAsia="仿宋_GB2312"/>
          <w:sz w:val="28"/>
          <w:szCs w:val="28"/>
          <w:lang w:eastAsia="zh-CN"/>
        </w:rPr>
        <w:t>。</w:t>
      </w:r>
      <w:r>
        <w:rPr>
          <w:rFonts w:hint="eastAsia" w:eastAsia="仿宋_GB2312"/>
          <w:sz w:val="28"/>
          <w:szCs w:val="28"/>
          <w:lang w:val="en-US" w:eastAsia="zh-CN"/>
        </w:rPr>
        <w:t>建议根据目标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拟出</w:t>
      </w:r>
      <w:r>
        <w:rPr>
          <w:rFonts w:hint="eastAsia" w:ascii="仿宋_GB2312" w:hAnsi="仿宋" w:eastAsia="仿宋_GB2312"/>
          <w:sz w:val="28"/>
          <w:szCs w:val="28"/>
        </w:rPr>
        <w:t>大学要完成的十件事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共   页，第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1"/>
        <w:szCs w:val="21"/>
      </w:rPr>
    </w:pPr>
    <w:r>
      <w:pict>
        <v:shape id="PowerPlusWaterMarkObject17391023" o:spid="_x0000_s2050" o:spt="136" type="#_x0000_t136" style="position:absolute;left:0pt;height:163.5pt;width:436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梦舞蓝图" style="font-family:华文行楷;font-size:8pt;v-text-align:center;"/>
        </v:shape>
      </w:pict>
    </w:r>
    <w:r>
      <w:rPr>
        <w:rFonts w:hint="eastAsia" w:ascii="仿宋" w:hAnsi="仿宋" w:eastAsia="仿宋"/>
        <w:sz w:val="21"/>
        <w:szCs w:val="21"/>
      </w:rPr>
      <w:t>职业设计    学涯规划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55348"/>
    <w:rsid w:val="1B9D790D"/>
    <w:rsid w:val="36F449FD"/>
    <w:rsid w:val="46E55348"/>
    <w:rsid w:val="6C9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2020-10-22T03:07:00Z</dcterms:created>
  <dc:creator>cjh</dc:creator>
  <cp:lastModifiedBy>cjh</cp:lastModifiedBy>
  <dcterms:modified xsi:type="dcterms:W3CDTF">2020-10-22T03:14:15Z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