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湖南科技学院</w:t>
      </w:r>
      <w:r>
        <w:rPr>
          <w:rFonts w:hint="eastAsia" w:ascii="方正小标宋简体" w:hAnsi="方正小标宋简体" w:eastAsia="方正小标宋简体" w:cs="方正小标宋简体"/>
          <w:b w:val="0"/>
          <w:bCs w:val="0"/>
          <w:sz w:val="44"/>
          <w:szCs w:val="44"/>
        </w:rPr>
        <w:t>信息工程学院</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“十四五”</w:t>
      </w:r>
      <w:r>
        <w:rPr>
          <w:rFonts w:hint="eastAsia" w:ascii="方正小标宋简体" w:hAnsi="方正小标宋简体" w:eastAsia="方正小标宋简体" w:cs="方正小标宋简体"/>
          <w:b w:val="0"/>
          <w:bCs w:val="0"/>
          <w:sz w:val="44"/>
          <w:szCs w:val="44"/>
          <w:lang w:eastAsia="zh-CN"/>
        </w:rPr>
        <w:t>建设与</w:t>
      </w:r>
      <w:r>
        <w:rPr>
          <w:rFonts w:hint="eastAsia" w:ascii="方正小标宋简体" w:hAnsi="方正小标宋简体" w:eastAsia="方正小标宋简体" w:cs="方正小标宋简体"/>
          <w:b w:val="0"/>
          <w:bCs w:val="0"/>
          <w:sz w:val="44"/>
          <w:szCs w:val="44"/>
        </w:rPr>
        <w:t>发展规划</w:t>
      </w:r>
    </w:p>
    <w:p>
      <w:pPr>
        <w:pStyle w:val="2"/>
        <w:rPr>
          <w:rFonts w:hint="eastAsia"/>
        </w:rPr>
      </w:pPr>
    </w:p>
    <w:p>
      <w:pPr>
        <w:pStyle w:val="3"/>
        <w:keepNext w:val="0"/>
        <w:keepLines w:val="0"/>
        <w:pageBreakBefore w:val="0"/>
        <w:kinsoku/>
        <w:wordWrap/>
        <w:overflowPunct/>
        <w:topLinePunct w:val="0"/>
        <w:autoSpaceDE/>
        <w:autoSpaceDN/>
        <w:bidi w:val="0"/>
        <w:adjustRightInd/>
        <w:snapToGrid/>
        <w:spacing w:before="0" w:beforeAutospacing="0" w:after="0" w:line="560" w:lineRule="exact"/>
        <w:ind w:left="0" w:leftChars="0" w:right="0" w:firstLine="0" w:firstLineChars="0"/>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十三五”以来，信息工程学院在学校党委的正确领导和广大教职员工的不懈努力下，坚持正确办学政治方向，面向国家和地方重大需求,持续深化教育教学综合改革，不断加强内涵建设，全面激发创新活力，办学实力和人才培养质量显著提升。“十四五”是我国全面建成小康社会向基本实现社会主义现代化迈进的关键时期，是湖南省全面实施“三高四新”战略、永州市实施承接粤港澳大湾区产业转移规划的关键时期，也是学校全面提升应用型人才培养质量，加快推进地方性高水平应用型大学建设的关键时期。为抓住这一重要战略发展机遇期,信息工程学院结合自身实际,制定本规划纲要。</w:t>
      </w:r>
    </w:p>
    <w:p>
      <w:pPr>
        <w:keepNext w:val="0"/>
        <w:keepLines w:val="0"/>
        <w:pageBreakBefore w:val="0"/>
        <w:kinsoku/>
        <w:wordWrap/>
        <w:overflowPunct/>
        <w:topLinePunct w:val="0"/>
        <w:autoSpaceDE/>
        <w:autoSpaceDN/>
        <w:bidi w:val="0"/>
        <w:adjustRightInd/>
        <w:snapToGrid/>
        <w:spacing w:beforeAutospacing="0" w:line="560" w:lineRule="exact"/>
        <w:ind w:right="0"/>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第一部分 “十三五”建设发展现状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一、“十三五”主要成绩</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（一）专业建设收获新成果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在现有计算机科学与技术、软件工程、通信工程3个本科专业的基础上，新增数据科学与大数据技术专业，全日制本科专业总数达到4个。其中数据科学与大数据技术新增为教育部首批“新工科研究与实践”建设专业（全国总共20个），计算机科学与技术专业新增为湖南省“一流专业”、“十三五”综合改革试点专业，软件工程新增为湖南省“一流专业”，通信工程新增为学校综合改革试点专业。新增国家级“一流课程”1门、湖南省“一流课程”2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（二）人才队伍焕发新气象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有一支富有朝气、勇于进取的师资队伍，教职员工60余人，其中教授3人，副教授、高级实验师和高级工程师16人，博士12人（含在读8人），双师双能型教师16人。教师队伍中外聘中国工程院院士1人，教育部长江学者1人，湖南省杰青1人；有湖南省课堂教学一等奖获得者7人，在湖南省高校中名列前茅。有湖南省121人才第三层次候选人1人，校级英才计划支持者3人，省级青年骨干教师5名，省级青年教学能手4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（三）教育教学改革拓展新内涵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着力深化教育教学改革，深化产教融合、政校企合作，加强教学资源建设，不断推进课程体系改革，教育教学水平稳步提高，先后获湖南省高等教育教学成果奖二等奖1项、省教学改革项目8项、教育部产学合作综合改革项目30余项。4人获省级高校教学课堂教学竞赛一等奖，1人获省级高校教师信息化教学竞赛一等奖，3人获省级教学能手荣誉称号。立项精品课程2门，编写教材11部。立项5个大学生创新创业教育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（四）学科科研再上新水平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主动对接产业发展和创新驱动战略，在科学研究、平台建设、成果转化等方面取得较大发展，产出了一批有重要影响力的科研成果。近五年来，主持参与科研项目76项，其中，国家自然科学基金2项，教育部首批新工科项目1项，教育部人文社科项目1项、湖南省自然科学基金等省部级项目20项、市校级科研课题立项47项、校企合作横向项目40余项，研究成果获湖南省技术发明三等奖1项。学院“计算机科学与技术”为学校重点建设的应用特色学科，现围绕信息网络安全、机器视觉与智能信息处理、大数据产业应用技术等研究方向成立了计算机应用技术研究所、信息网络安全研究所、大数据与物联网研究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（五）办学条件得到新改善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为学生提供良好的实验平台，目前有计算机应用技术、软件开发、网络与通信、大数据与人工智能、计算机公共课实验等五大实验模块，总共50余间实验实训室，20余间大学生创新创业工作室，总资产1500余万元。同时为满足教学与科研的需要，学院建有湖南省实践教学示范中心1 个、湖南省基础课教学合格实验室1个、湖南省虚拟仿真实验室1个、湖南省大学生科技创新创业基地1个、湖南省大学生创新训练中心1个、湖南省校企合作创新创业教育基地1个、湖南省大学生创新创业教育中心1个、湖南省大数据应用创新创业教育基地1个、湖南省信息技术科普基地1个等产学研合作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（六）人才培养取得新业绩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始终坚持以培养应用型人才为宗旨，探索构建了“一个中心、两种方式、三方共建、四大保障、五维对接”的信息类专业多方协同应用型动态人才培养模式，实施“3+1”校企合作基地实习实训和“2+2”校企合作共建卓越班的人才培养方案，教学质量和人才培养质量不断提升，信息类专业学生综合能力和素质得到很大提高，服务区域经济社会发展的能力明显增强。学生参加各类学科竞赛，取得了优异的成绩，获得各类国家级、省部级奖50余项。其中，全国“互联网+” 创新创业大赛金奖1项、银奖1项、湖南省一等奖1项、二等奖1项；获得全国电子设计大赛国家一等奖1项、 国家二等奖1项、 省一等奖6项；全国“挑战杯”大赛国家三等奖1项、省一等奖1项；全国软件开发总决赛C/C++程序设计本科组一等奖1项，省一等奖3项；湖南省ACM程序设计大赛省一等奖4项；湖南省物联网应用创新设计大赛一等奖5项；湖南省大学生工程训练综合能力竞赛一等奖四项等高质量奖项。学生获得国家级、省级科创项目立项24项，发表论文35篇，授权专利6人次，其中，立项国家级大学生创新创业项目6项。学生考研参考、录取人数逐年增多，分别被录取到复旦大学、英国约克大学等国内外知名高校。毕业生就业率连续多年保持在89%以上，并在各行各业深受用人单位好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（七）开放办学迈上新台阶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不断加强和深化校地、校企以及国际合作，与湘潭大学、湖南农大联合培养全日制硕士研究生，与华为、慧科共建华为信息与网络技术（ICT）学院，与粤嵌共建国家级创客空间，先后建有中国网安、中国移动、中国联通、中国电信、华为、慧科、粤嵌、千锋、飞思、弘成等10余个产学研人才培养基地，与美国硅谷大学、尼亚加拉大学等高校开展联合办学，互派学生交流，为学生的国际化开辟了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（八）服务地方迈出新步伐</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主动融入地方，紧紧依托地方，充分发挥高校人才、科技等优势，以满足不断发展壮大的大数据产业用人需求为导向，不断加强和深化校地、校企合作，培养更多德才兼备的大数据技术人才，服务地方经济发展。利用湖南省“三区”人才计划，积极对接湖南永州当地企业，实施科技扶贫。目前已与湖南江永贵德电子、湖南永州“云谷”科技公司建立了稳定的技术合作关系，增强了贫困地区企业的科技持续发展与自我“造血”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（九）党建和思想政治工作呈现新风貌</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坚持用习近平新时代中国特色社会主义思想铸魂育人，充分发挥党组织在办学方向、教育教学、人才培养等方面的政治核心作用，推动学院科学发展、内涵发展。学院将党课搬到第一现场，在李达故居、陶铸纪念馆、红六军团指挥部旧址等红色教育基地开展革命传统教育50余次，强化基层党组织建设，多次获评先进直属党组织、规范化建设先进单位等荣誉称号，1人获评湖南省教师党支部书记“双带头人”标兵，1人获评湖南省百佳大学生党员，计科1902班全班男生每天自愿接送因先天疾病不能正常行走的同学黎际勤上学的优秀事迹，被新华社、中国教育报、人民网、新华网等权威媒体予以推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二、存在的主要问题</w:t>
      </w:r>
    </w:p>
    <w:p>
      <w:pPr>
        <w:keepNext w:val="0"/>
        <w:keepLines w:val="0"/>
        <w:pageBreakBefore w:val="0"/>
        <w:kinsoku/>
        <w:wordWrap/>
        <w:overflowPunct/>
        <w:topLinePunct w:val="0"/>
        <w:autoSpaceDE/>
        <w:autoSpaceDN/>
        <w:bidi w:val="0"/>
        <w:adjustRightInd/>
        <w:snapToGrid/>
        <w:spacing w:beforeAutospacing="0" w:line="560" w:lineRule="exact"/>
        <w:ind w:right="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    （一）学科建设对标申硕要求还存在差距。</w:t>
      </w:r>
      <w:r>
        <w:rPr>
          <w:rFonts w:hint="eastAsia" w:ascii="仿宋_GB2312" w:hAnsi="仿宋_GB2312" w:eastAsia="仿宋_GB2312" w:cs="仿宋_GB2312"/>
          <w:kern w:val="2"/>
          <w:sz w:val="32"/>
          <w:szCs w:val="32"/>
          <w:lang w:val="en-US" w:eastAsia="zh-CN" w:bidi="ar-SA"/>
        </w:rPr>
        <w:t>表现为一是标志性成果不突出，国家级科研项目数量不多，省级以上科研平台、省级科技奖亟待突破。二是学科的凝聚力还不够强，方向上人才分布不均衡，需要进一步凝练，团队合力有待进一步加强。三是科研环境有待改进，科研实验室投入资金不足，教师的教学工作任务相对较重，用于科学研究的时间精力不足。</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（二）专业建设对标“工程教育认证”要求存在一定差距。</w:t>
      </w:r>
      <w:r>
        <w:rPr>
          <w:rFonts w:hint="eastAsia" w:ascii="仿宋_GB2312" w:hAnsi="仿宋_GB2312" w:eastAsia="仿宋_GB2312" w:cs="仿宋_GB2312"/>
          <w:kern w:val="2"/>
          <w:sz w:val="32"/>
          <w:szCs w:val="32"/>
          <w:lang w:val="en-US" w:eastAsia="zh-CN" w:bidi="ar-SA"/>
        </w:rPr>
        <w:t>需进一步理清思路，以稳步推进专业认证工作为契机，继续优化人才培养方案，扎实抓好课程建设，抓好每一堂课，争取学校层面的政策支持。</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（三）校政企行合作深化力度不够，协同育人的效果还有待提升。</w:t>
      </w:r>
      <w:r>
        <w:rPr>
          <w:rFonts w:hint="eastAsia" w:ascii="仿宋_GB2312" w:hAnsi="仿宋_GB2312" w:eastAsia="仿宋_GB2312" w:cs="仿宋_GB2312"/>
          <w:kern w:val="2"/>
          <w:sz w:val="32"/>
          <w:szCs w:val="32"/>
          <w:lang w:val="en-US" w:eastAsia="zh-CN" w:bidi="ar-SA"/>
        </w:rPr>
        <w:t>需进一步改进校企合作动态人才培养模式，以产出标志性成果为导向，制定实施操作性强的合作机制和合作方案，推进校政企行深度融合，提升协同育人实效。</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（四）各学科专业之间的“壁垒”依然存在，资源整合力度不足。</w:t>
      </w:r>
      <w:r>
        <w:rPr>
          <w:rFonts w:hint="eastAsia" w:ascii="仿宋_GB2312" w:hAnsi="仿宋_GB2312" w:eastAsia="仿宋_GB2312" w:cs="仿宋_GB2312"/>
          <w:kern w:val="2"/>
          <w:sz w:val="32"/>
          <w:szCs w:val="32"/>
          <w:lang w:val="en-US" w:eastAsia="zh-CN" w:bidi="ar-SA"/>
        </w:rPr>
        <w:t>一是需在学生基础培养阶段突出课程体系的共通性与普适性。二是需在专业培养阶段鼓励开放融合，实现师资、课程、实习实训等优质教学资源的开放共享。</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（五）学生工作管理机制与协作育人机制有待进一步完善。</w:t>
      </w:r>
      <w:r>
        <w:rPr>
          <w:rFonts w:hint="eastAsia" w:ascii="仿宋_GB2312" w:hAnsi="仿宋_GB2312" w:eastAsia="仿宋_GB2312" w:cs="仿宋_GB2312"/>
          <w:kern w:val="2"/>
          <w:sz w:val="32"/>
          <w:szCs w:val="32"/>
          <w:lang w:val="en-US" w:eastAsia="zh-CN" w:bidi="ar-SA"/>
        </w:rPr>
        <w:t>一是学工队伍职业化、专业化水平还不高。二是思想政治工作的品牌创建意识还不强,特色不明显。三是协作推进学风建设的机制不完善，学生被动学习的情况较多，主动学习、快乐学习的内生动力有待进一步激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三、机遇与挑战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（一）存在的机遇</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今世界，信息技术发展日新月异，高新技术层出不穷，人工智能、大数据、区块链、物联网等新兴科学技术方兴未艾，为人类社会带来了前所未有的冲击与变化，世界正面临“百年未有之大变局”。随着我国开启全面建设社会主义现代化国家新征程，把科技自立自强作为国家发展的战略支撑，加快实施“创新驱动”“一带一路”等发展战略，大力推进“双循环经济”，湖南省全面推进“三高四新”战略，永州市实施承接粤港澳大湾区产业转移规划，学校建设地方性有特色高水平应用型大学，将信息类学科作为学校五大重点发展学科，都为信息工程学院的科学发展、内涵发展、特色发展提供了良好的外部条件。</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国家出台《中国教育现代化2035》，强调要提高教育服务经济社会发展的能力，高等教育的体制改革和教学改革成为规划讨论的重要问题。国家对高等教育的投入的方式已经和正在发生改变，“双万计划”、“特色应用学科”等政策的实施都为我们带来新的机遇。同时，我国社会经济的深刻变化，尤其是要协同推进科技创新、产业发展和数字化转型，提升了对计算机、软件工程、大数据、通信工程等专业人才的需求度与支撑度，这为信息类学科和专业发展、招生和就业带来了新的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（二）面临的挑战</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过十多年的建设和发展，学院的本科生教育已初具规模，拥有了比较雄厚的师资力量和教学条件，教学成果比较显著且对同类院校有优势，学科布局已基本成形，科研已经具备了较好的发展基础。但是学院现有本科生专业教育工作对标工程教育认证要求还存在差距，“电子信息”专业硕士建设点申报工作仍然任重道远，人才队伍建设面临博士引进困难、优秀人才流失等诸多难题，教学与科研团队的作用没有充分发挥。与省内同类学院相比较，我们虽然进入了第一方队，但是必须清醒认识到与领跑者的差距，仍然处于追赶的阶段，还需要补短板强弱项并努力争取赶超。</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此，“十四五”时期是学院战略转型的关键时期，学院将分析研判自身的实际情况，认清学院目前所面临的形势与挑战，明确目标，科学决策，精准发力，以时不我待的精气神苦干实干，奋力推进学院各项事业高质量发展。</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p>
    <w:p>
      <w:p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b w:val="0"/>
          <w:bCs w:val="0"/>
          <w:sz w:val="32"/>
          <w:szCs w:val="32"/>
          <w:lang w:val="en-US" w:eastAsia="zh-CN"/>
        </w:rPr>
        <w:t xml:space="preserve"> 第二部分  指导思想、发展定位和建设目标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一、指导思想与发展定位</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学院将以习近平新时代中国特色社会主义思想为指导，按照学校第四次党代会精神及学校“十四五”事业改革与发展规划的要求，坚持以立德树人为根本，强化党建引领，落实“五育并举”、“三全育人”，坚持以服务湖南省“三高四新”战略对信息工程类专业人才的需求为目标，立足永州、面向产业、辐射全国，突出“新工科教育理念，校地企协同育人”的办学特色，不断增强学院学科、专业、人才队伍的综合实力，促进学院各项工作高质量发展。</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学院的发展定位是：按照“增量、增速、可持续”的发展原则，根植永州，主动为地方经济转型发展升级服务，面向区域信息产业，依托信息技术企业，围绕信息技术系统及其业务应用，结合服务地方深入开展科学研究与产学研合作，打造理论与实践相结合的双师型教师队伍，培养能为区域信息产业服务的高水平应用型人才。</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二、建设目标</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学院整体发展建设目标是：紧紧围绕“电子信息”专业硕士点建设点和省级一流应用特色学科的申报目标，紧扣湖南省“三高四新”战略需求，构建区域内领先的科学研究环境，大力度推进“名师工程”和“引智工程”，打造一批地方特色鲜明、方向性强的科研团队，全力争取成功申报专业硕士点和立项省级一流应用特色学科。按照国际工程教育认证和教育部“双万计划”建设要求，建设一批突出应用能力的省级国家级一流专业群和一流课程群，培养一批兼具深厚专业理论知识和丰富实践经验的优秀教学团队。将学院的学科建设、人才培养与地方经济社会相结合，增强服务地方的能力，通过深化产教融合和推进创新创业工作，培养就业竞争力强的高质量应用型人才，将学院建设成为拥有5个本科专业和1个专业硕士建设点，具有区域内示范引领作用的一流学院。</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p>
    <w:p>
      <w:p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第三部分  重点建设任务与举措</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一、教育教学及专业建设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（一）建设任务</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期间，学院将深度对接我省经济社会发展需求，特别是新兴优势产业链发展，紧紧围绕“双一流”建设和专业认证要求，以“大数据产业学院”及“大数据与人工智能”为核心，优化专业设置，做好教育教学及专业建设工作。</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专业内涵建设，按照工程教育认证标准，打造一流专业群和课程群。一是完善学院的专业设置，积极申报新专业，新增人工智能本科专业1个。二是确保计算机科学与技术专业通过工程教育认证，力争软件工程专业通过工程教育认证。三是加强一流专业建设，新增1个国家级一流专业，建设好计算机科学与技术、软件工程省级一流本科专业，确保通过一流专业验收。四是加强一流课程建设，力争立项1-2门国家级一流课程，新增4门省级一流课程。五是积极推进专业评价工作，新增湖南省专业评价A类专业一个，B类专业3个，去掉C类专业的帽子。六是全力申报“电子信息”专业硕士建设点，力争获得工程硕士招生资格。七是深化合作办学，进一步做好与美国硅谷大学、尼亚加拉大学等高校开展联合办学，互派学生交流。八是加强教材建设，新增公开出版的自编教材6本，新增省级优秀教材2本，力争在国家级优秀教材上取得突破。九是加大双师双能型老师培养力度，鼓励老师参加各级各类教学比赛，新增双师双能型教师6人，新增省级一等奖2项，其他奖8项，力争在国家级教育教学竞赛中获得突破。</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（二）实施举措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1.瞄准市场，看准需求，优化专业设置。</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产业为前提，以需求为导向，积极申报新专业，新增人工智能本科专业1个；对标新工科、三全育人、五育并举、课程思政以及最新的专业发展方向，调整各专业人才培养方案；对标“电子信息”专业硕士点要求，大力建设计算机科学与技术、软件工程、数据科学与大数据技术等本科专业，力求拿到硕士学位授予权；继续加大与湘潭大学、湖南农业大学联合培养研究生的广度和深度，增加数量，提高质量。大力加强一流专业建设，新增1-2个省级一流专业，新增1个国家级一流专业，建设好计算机科学与技术、软件工程省级一流本科专业，确保通过一流专业验收。</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2.瞄准新工科，推进工程教育认证，改革人才培养模式。</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紧紧把握“人才培养质量”底线不放松，以新工科建设及工程教育认证为抓手，构建“校企互融，项目驱动，人才共育”的人才培养模式。积极与IT行业发展对接，大力倡导校企行合作，工学结合，实现与IT企业进行校企行合作共建，逐步形成以就业为导向，各专业培养目标和人才培养方案动态调整的培养机制。加大考研培养力度，每年增设考研专班一个，配备博士班主任，负责考研班的管理、备考、志愿填报等工作，大幅提高研究生报考比、录取数。</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3.打造金课，淘汰水课，加强一流课程建设。</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以工程教育认证为标准，构建 “工学结合”的模块化课程体系，鼓励老师积极申报省级、国家级一流课程，力争立项1-2门国家级一流课程，立项4门省级一流课程。</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（1）构建 “工学结合”的模块化课程体系。专业课程体系突出以就业为导向，以项目模块为基本结构，以职业岗位能力需求为基本要求，以基于工作过程教学、工学结合为主要手段，重组课程和教学内容，构建适应信息技术产业岗位需求的模块化课程体系，实现各专业课程体系涵盖通识课程模块、专业通用课程模块、专业核心课程模块、专业素质拓展课程模块和顶岗实习就业课程模块五部分。</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开发基于工作过程的核心课程、在线课程。开展以提高学生专业技能为本位的课程改革，组织校企专家，依据“工程教育认证”标准，突出应用性特色，将专业学习领域所需的知识、技能和素质整合转换成专业项目课程，形成“基于工作过程”的项目课程。按照该项目课程，建立开放式的教学环境，坚持“教、学、做”合一，构建理实一体、项目导向、任务驱动的情境教学模式。通过五年努力，开发5门专业核心在线课程。</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4.积极推进专业评价，加强国际合作办学。</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做好顶层设计，群策群力，积极推进专业评价工作，新增湖南省专业评价A类专业一个，B类专业3个，去掉C类专业的帽子。在合作办学方面，进一步推进与美国硅谷大学、尼亚加拉大学等高校开展联合办学，加强“一带一路”国际交流生的招生、管理与教学工作，加大与港澳台高校的交流与合作。</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5.加强教材和教学能力建设，以赛促学，提高教学质量。</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老师出版优质教材，开发不少于5门基于工作过程的该专业核心课程校本教材，新增公开出版的自编教材6本，新增省级优秀教材2本，力争在国家级优秀教材上取得突破。鼓励老师参加各级各类教学比赛，设立专项奖励计划，在年度考核、职称评定、科研立项等方面，都给予政策倾斜。争取新增省级教育教学竞赛一等奖2项，其他奖4项，力争在国家级教育教学竞赛中获得突破。</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二、师资队伍建设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（一）建设任务</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紧贴学科与专业发展需要，通过“内培外引”，着力提高学院教师的职称学历，大力引进高质量有用人才，形成一支能够满足硕士点建设要求，且专兼结合、结构合理，兼具深厚专业理论知识和丰富实践经验的“高职称、高学历、高素质”教师团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（二）实施举措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1.提高教师职称学历水平</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改善教师队伍的学历学位结构，优化教师职称结构。继续落实改进青年教师导师制，每位高级职称人员指导培养1名青年教师，明确传帮带责任与义务，推动中青年教师教学和科研整体水平得到提升。以系部为单位，制定科学合理的系部师资队伍发展规划，做好本系教师个人学历学位与职称晋升发展规划，鼓励和支持中青年教师攻读博士，通过不同途径进行深造，提升学历和职称，并积极参与国际学术交流，外出进修、讲学、深造。继续加强人才引进力度，争取到2025年，学院正高职称人数人数突破5名，博士数量突破20名。</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2.加强专业教学团队建设</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一流课程项目主持人为带头人打造一流教学团队，强化团队教学意识，建立和创新团队合作机制，整合优质教师资源，优化教师整体结构，实现教学工作的传、帮、带和老中青结合，提高教师的教学和科研水平，形成强大的团队凝聚力。“十四五”期间，力争每专业新增1个一流教学团队，到2025年计划建成5个专业教学团队。同时，加快培育虚拟教研室团队。积极开展虚拟教研室建设，构建规范有序的交流互访机制，推动与兄弟院系、兄弟高校之间的交流合作和优质资源共享。“十四五”期间，力争完成2个虚拟考研室团队的组建及运行。</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3.加强“双师”队伍建设</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大专业群骨干教师和双师素质教师的培养力度。按照“专任教师职业化，兼职教师专业化”的理念，通过与华为、中国网安等企业密切合作，采取“多方联动、双岗交替、定向培养”的“双师”队伍建设模式，选拔具有中级职称以上的中青年教师作为骨干教师培养对象，鼓励和支持骨干教师参加各种培训，每年到企业挂职工作或顶岗实践1个月以上，并承担一定的企业服务任务。通过三年的培养，使骨干教师成为课程建设负责人，培养5名专业带头人，6名青年骨干教师。二是完善外聘教师的聘用和引进制度，从企业和社会聘请专家到学校担任兼职教师，调动来自行业企业一线的兼职教师的教学积极性，从而推进校企之间技术研讨和经验交流的制度化建设，提高技术服务能力。三是采用岗位培训、顶岗实习、考取高水平行业资格证、邀请国内知名专家到学校讲学等多种形式，重点培养实践技能，使其成为教学骨干。力争到2025年专业教师“双师素质”教师比例达到40%，专兼职教师比例达到3：1左右，争取新增双师双能型教师6人，形成专兼结合、素质优良、结构合理的师资结构。</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三、学科和科研建设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（一）建设任务</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国家专业硕士建设点要求，全力推进“电子信息”专业硕士建设点申报工作，通过持续加大科研扶持力度，凝练学科方向，建设一批研究能力强的科研团队，建设国内领先的科研团队学科实验室，争取到“十四五”结束时，学科实验室资产超过500万元。继续加强产、教、研紧密结合，做好科研成果转化工作，成为服务地方经济建设的中坚力量。力争立项2-5个国家级课题，力争立项省级应用特色学科，立项1-3个省级学科平台，获得1-3项省级科学技术奖、1-3人获得省级人才称号，教授数量突破5名，博士数量突破15名，联合培养硕士生10名，学科影响力在同类院校排名前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（二）主要举措</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1.加强学科队伍建设</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聚焦学科研究方向，围绕申硕等引进优秀青年博士，夯实学科建设梯队。密切联系省内博导、硕导，力争引进有杰出成果的青年博士2-3名,引进高水平硕士6-8名，培养本院博士4-6名。到2025年博士人数达到20人左右。努力为青年教师联系国内博导、做好博士国内培养工作，稳定产出优秀成果，围绕学科发展三个方向，培养科技领军人才和青年学者，打造学科团队。</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2.争取新的平台资源</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聘请高水平学科发展顾问，力争立项省级应用特色学科。加强纵向联系，积极</w:t>
      </w:r>
      <w:r>
        <w:rPr>
          <w:rFonts w:hint="default" w:ascii="仿宋_GB2312" w:hAnsi="仿宋_GB2312" w:eastAsia="仿宋_GB2312" w:cs="仿宋_GB2312"/>
          <w:kern w:val="2"/>
          <w:sz w:val="32"/>
          <w:szCs w:val="32"/>
          <w:lang w:val="en-US" w:eastAsia="zh-CN" w:bidi="ar-SA"/>
        </w:rPr>
        <w:t>参加</w:t>
      </w:r>
      <w:r>
        <w:rPr>
          <w:rFonts w:hint="eastAsia" w:ascii="仿宋_GB2312" w:hAnsi="仿宋_GB2312" w:eastAsia="仿宋_GB2312" w:cs="仿宋_GB2312"/>
          <w:kern w:val="2"/>
          <w:sz w:val="32"/>
          <w:szCs w:val="32"/>
          <w:lang w:val="en-US" w:eastAsia="zh-CN" w:bidi="ar-SA"/>
        </w:rPr>
        <w:t>科技部、工信部、科技厅、教育厅</w:t>
      </w:r>
      <w:r>
        <w:rPr>
          <w:rFonts w:hint="default" w:ascii="仿宋_GB2312" w:hAnsi="仿宋_GB2312" w:eastAsia="仿宋_GB2312" w:cs="仿宋_GB2312"/>
          <w:kern w:val="2"/>
          <w:sz w:val="32"/>
          <w:szCs w:val="32"/>
          <w:lang w:val="en-US" w:eastAsia="zh-CN" w:bidi="ar-SA"/>
        </w:rPr>
        <w:t>举办的各种会议</w:t>
      </w:r>
      <w:r>
        <w:rPr>
          <w:rFonts w:hint="eastAsia" w:ascii="仿宋_GB2312" w:hAnsi="仿宋_GB2312" w:eastAsia="仿宋_GB2312" w:cs="仿宋_GB2312"/>
          <w:kern w:val="2"/>
          <w:sz w:val="32"/>
          <w:szCs w:val="32"/>
          <w:lang w:val="en-US" w:eastAsia="zh-CN" w:bidi="ar-SA"/>
        </w:rPr>
        <w:t>、项目</w:t>
      </w:r>
      <w:r>
        <w:rPr>
          <w:rFonts w:hint="default" w:ascii="仿宋_GB2312" w:hAnsi="仿宋_GB2312" w:eastAsia="仿宋_GB2312" w:cs="仿宋_GB2312"/>
          <w:kern w:val="2"/>
          <w:sz w:val="32"/>
          <w:szCs w:val="32"/>
          <w:lang w:val="en-US" w:eastAsia="zh-CN" w:bidi="ar-SA"/>
        </w:rPr>
        <w:t>学习</w:t>
      </w:r>
      <w:r>
        <w:rPr>
          <w:rFonts w:hint="eastAsia" w:ascii="仿宋_GB2312" w:hAnsi="仿宋_GB2312" w:eastAsia="仿宋_GB2312" w:cs="仿宋_GB2312"/>
          <w:kern w:val="2"/>
          <w:sz w:val="32"/>
          <w:szCs w:val="32"/>
          <w:lang w:val="en-US" w:eastAsia="zh-CN" w:bidi="ar-SA"/>
        </w:rPr>
        <w:t>与培训，协调多方资源，积极开展与国内高校以及海外高校的横向合作，争取更多的国家、省部级纵向项目立项。加强横向联系，服务地方，联合地方企业申报省级重点实验室、工程技术研究中心、创新型省份项目。</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3.产出高质量研究成果</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化科研体制及机制改革，强化与青年教师“一对一”“一对多”的科研指导，鼓励老师积极投身科研，成功申报标志性课题，产出高质量研究成果。近五年力争立项国自科面上项目或者青年项目2-3项；近五年突破科技部重点研发项目子课题1-2项；湖南省重点研发项目1-2项；近五年争取突破Transaction论文和CCF A、B类会议论文3-5篇；近五年突破湖南省自然科学奖、科技进步奖1-2项。指导1-2名博士研究生毕业。争取更多的研究经费支持一流成果，解决青年教师的研究经费问题。每年发表论文不少于25篇，申报省级以上项目课题不少于15项。同时，强化科技成果与经济、创新项目与现实生产力、创新成果与产业对接，推动重大科学创新、关键技术突破转变为先进生产力。</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4.加强硬件建设</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学校支持下，力争建设1～2个具有鲜明专业特点、教学与科研兼顾、高水平的专业实验室。配合学校申请政府资助，学校再按相应比例配套，争取到2025年学科实验设备总值超过500万元，使学科实验室达到国内同类院校领先水平。向学校申请每年投入2万元用于学科方面的图书资料及文献建设。</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四、实验实训室及实训基地建设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（一）建设任务</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专业及学科需要积极申请实验室建设，新建人工智能、5G通信技术两大实验平台，力争完善物联网与大数据应用实验平台建设。深入开展产教融合，以“大数据产业学院”为核心，辐射带动相关专业共同发展。加强创新创业教育，建设3个校企合作创新创业工作室，申报国家级创业实践创新训练项目6项以上，省级12项以上。鼓励学生参加各级各类学科竞赛，国家级获奖3项，省一等奖5项以上，其他省级奖励30项以上。探索校企合作办学新途径，新建“校企合作卓越工程师班”的专业共建班2-3个，新建校外实习实训基地5个。加强省级实践平台项目的申报与建设，立项省级项目3个以上，力争实现国家级平台突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（二）主要举措</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1.加强实验室建设</w:t>
      </w:r>
    </w:p>
    <w:p>
      <w:pPr>
        <w:keepNext w:val="0"/>
        <w:keepLines w:val="0"/>
        <w:pageBreakBefore w:val="0"/>
        <w:kinsoku/>
        <w:wordWrap/>
        <w:overflowPunct/>
        <w:topLinePunct w:val="0"/>
        <w:autoSpaceDE/>
        <w:autoSpaceDN/>
        <w:bidi w:val="0"/>
        <w:adjustRightInd/>
        <w:snapToGrid/>
        <w:spacing w:beforeAutospacing="0" w:line="560" w:lineRule="exact"/>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认真完成已经立项的中央支持地方高校实验室建设项目：数据科学与大数据实验室、人工智能与网络安全实验室等实验平台的建设任务。组织专任教师及相关人员完成各年度的中央支持地方高校实验室建设项目的建设方案和预算编制的编写，力争完成新立项建设项目３个以上。做好实验室建设的相关配套工作，确保实验场地、设备按要求到位。派出相关教师进行培训，确保实验设备正常、高效地融入实验教学体系。</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2.提升实验教学质量</w:t>
      </w:r>
    </w:p>
    <w:p>
      <w:pPr>
        <w:keepNext w:val="0"/>
        <w:keepLines w:val="0"/>
        <w:pageBreakBefore w:val="0"/>
        <w:kinsoku/>
        <w:wordWrap/>
        <w:overflowPunct/>
        <w:topLinePunct w:val="0"/>
        <w:autoSpaceDE/>
        <w:autoSpaceDN/>
        <w:bidi w:val="0"/>
        <w:adjustRightInd/>
        <w:snapToGrid/>
        <w:spacing w:beforeAutospacing="0" w:line="560" w:lineRule="exact"/>
        <w:ind w:right="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进一步完善制度化、规范化管理，按学校文件要求，将实验教学计划、实验报告、学生实验登记记录、设备使用记录、实验教学总结等实验教学文档统一收集，并整理汇总存档。做好开放性实验，综合性设计性实验的申报、认定、监督、验收等工作。所有专业实验室面向全校学生开放，实现实验资源全校性共享，开放使用记录等文件资料按年度汇总成册。组织好每年的实验教学比赛，规划好每年参赛的对象，执行听、评、改制度，争取在十四五期间获校级一等奖2个以上，其他等级奖6个以上。</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3.规范实习实训管理</w:t>
      </w:r>
    </w:p>
    <w:p>
      <w:pPr>
        <w:keepNext w:val="0"/>
        <w:keepLines w:val="0"/>
        <w:pageBreakBefore w:val="0"/>
        <w:kinsoku/>
        <w:wordWrap/>
        <w:overflowPunct/>
        <w:topLinePunct w:val="0"/>
        <w:autoSpaceDE/>
        <w:autoSpaceDN/>
        <w:bidi w:val="0"/>
        <w:adjustRightInd/>
        <w:snapToGrid/>
        <w:spacing w:beforeAutospacing="0" w:line="560" w:lineRule="exact"/>
        <w:ind w:right="0"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做好每年度的实习、实训和专业见习工作。积极推行校企合作新模式，联合企业进行实践教学模式改革。新建“校企合作卓越工程师班”的专业共建班2-3个，在实践中打造行之有效的校企共建模式，营造积极向上、朝气蓬勃的学习环境，给每个班配备专业、企业双班主任，在校内实施企业化管理和实战化项目开发实训，力争让共建班成为其他学生向往的学习高地。</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革现有的实习模式，丰富实习内容，扩大与企业的合作力度，大力引进企业师资力量，邀请企业工程师来校为学生指导专业见习、开展课程设计及创新创业课程授课，争取每学年引入具有工程师背景的实验教师10人次以上。做好冬令营、夏令营企业专项实训工作，完成与企业合作的冬令营、夏令营专项实训活动4次以上。新建校外实习实训基地5个。</w:t>
      </w:r>
    </w:p>
    <w:p>
      <w:pPr>
        <w:keepNext w:val="0"/>
        <w:keepLines w:val="0"/>
        <w:pageBreakBefore w:val="0"/>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4.争取更多平台资源</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努力做好现有的省级创新创业等实践教学平台的建设与管理工作，积极申报各类省级的实验、实践、实习、实训教学平台，力争立项省级平台３项，力争实现国家级平台零的突破。积极引入企业与老师进行横向项目的开发与合作，也鼓励老师大胆走出去，寻求横向合作的机会。积极推动教育部产学合作协同育人项目的申报，争取完成横向项目20项，教育部协同育人项目30项。</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5.鼓励支持创新创业与学科竞赛</w:t>
      </w:r>
    </w:p>
    <w:p>
      <w:pPr>
        <w:keepNext w:val="0"/>
        <w:keepLines w:val="0"/>
        <w:pageBreakBefore w:val="0"/>
        <w:kinsoku/>
        <w:wordWrap/>
        <w:overflowPunct/>
        <w:topLinePunct w:val="0"/>
        <w:autoSpaceDE/>
        <w:autoSpaceDN/>
        <w:bidi w:val="0"/>
        <w:adjustRightInd/>
        <w:snapToGrid/>
        <w:spacing w:beforeAutospacing="0" w:line="560" w:lineRule="exact"/>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继续加强学院创新创业中心的建设工作，利用省级大学生创新基地等平台项目资金，进一步完善创新创业中心的硬件设施，认真执行创新创业中心的管理制度，完善软硬环境的建设。鼓励指导老师率队申报各级学生创新创业项目，力争完成国家级创业实践项目3项、国家级创新训练项目3项，省级创业实践项目5-8项、省级创新训练项目5-8项，校级创业实践、创新训练项目多项。</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学生参加各类学科竞赛，鼓励与企业开展合作，包括电子设计大赛、ACM程序设计大赛、互联网+创新创业大赛、物联网应用创新大赛、北斗导航大赛、挑战杯大赛等赛事，争取取得更优异的成绩。“十四五”期间，力争使学院创新创业中心常驻学生人数达到300人，获得1-3个国家级学科竞赛奖，20-35个省级学科竞赛奖。鼓励教师参加实验教学比赛，力争获校级一等奖2个以上。</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五、人才培养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（一）建设任务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学院的发展战略，到“十四五”末，学院学生工作基本实现：育人有载体，服务有质量，队伍有活力，工作有品牌，成效有影响。坚持一步完善学生工作体制机制进；职业化、专业化、专家化的学生工作专兼职队伍基本形成；全员育人、全过程育人、全方位育人的氛围浓厚；着力培养学生的家国情怀、职业道德、专业技能、创新能力、敬业精神、团队意识和诚信意识，全面提升学生综合素质，创新意识得到显著加强，优秀学生典型不断涌现。着力培育学生工作品牌，形成1-2个在校内外有一定影响力的学生工作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（二）主要举措</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生工作将围绕落实立德树人根本任务，聚焦价值引领、学风建设、素质培养、队伍建设，实施“立德铸魂”、“赋能强身”、“文化润心”、“平安和谐”、“优良学风”、“济困助学”、“能力提升”七大工程，夯实学工基础，稳步推进文明院风和优良学风建设，系统构建“德智体美劳”全面成长的引导和服务体系，着力创新大学生思想政治教育的方式方法，着力提高学生工作队伍科学化水平，着力完善学生工作长效机制，努力开拓“三全育人”“五育并举”工作新局面。</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1.丰富载体实施立德铸魂工程</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凝心聚力、立德铸魂，大力培育和践行社会主义核心价值观。一是强化思想引领。充分发挥分党校、分团校、青年大学习等线上线下平台作用，推进习近平新时代中国特色社会主义思想入脑、入心、入行。二是提升思政实效。突出典型示范，开展学生党员、学生干部等示范岗活动，教育引导广大学生党员、学生干部亮身份、履义务、践承诺，做到一名学生党员、学生干部都争做一面旗帜，同时，开展“奋斗的足迹”“青春的印记”优秀学生典型培育活动。突出“互联网+”思政特色，运用微信微博等新媒体，提升思想政治工作精准供给能力。突出课程思政，积极培育思政元素显著的精品专业课程，推动课程思政建设。三是创新主题教育。以改革学生评价体系为导向，以重大节日、纪念日、新生入学、学生毕业等为契机，开展大学生爱国主义教育、文明养成教育、人格教育、诚信教育、感恩教育、典仪教育等主题教育活动，引导学生树立远大志向、厚植家国情怀。</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2.培元固本实施赋能强身工程</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学科竞赛、职业认知、模拟招聘等大赛为抓手，以赛促学，以赛促练，引导并帮助广大学生树立正确的学业观、职业观、就业观，切实提高学生敬业爱岗、作风过硬、吃苦耐劳、素质优良的职业素质，为学生全面成才赋能。 结合信息类学科竞赛活动，动员更多老师参与指导学生学科竞赛，让更多学生获得专业技能提升的机会。结合就业创业，加大西部专招、参军入伍的宣传力度，积极引导学生服务国家战略发展。积极开展创业计划竞赛、求职模拟大赛等活动，提升学生就业创业能力。加强创业典型的发掘、培植和宣传，开展“校友进校园”、“创业代表报告会”“就业创业座谈会”“励志讲座”等创业教育主题活动。结合体育运动，积极组织开展足球、排球、篮球等体育训练竞赛和日常锻炼活动，增强体魄，让学生切身感受学习赋能、专业赋能、政策赋能、健康赋能、奋斗赋能。</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3.创新方式推进文化润心工程</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重以文化人以文育人，加强学院文化建设。结合学院特色，重新调整设计学院文化布局，增添文化设施，增强文化内涵，提升文化形象。结合文化活动，利用好各级各类文化设施和阵地，举办诗歌朗诵、经典阅读、参观文化遗址等文化活动，提升学生的人文素养。结合社会实践和专业学习，利用各级各类党员教育培训基地、爱国主义教育基地，打造好“传承红色基因”“信息技术进校园”“社区义教”为内容的主题实践活动，拓展文化育人的深度广度。结合优秀传统文化，开展“听说读写”训练，让大学生从优秀传统文化中汲取养分，引导大学生树立正确的历史观、民族观、国家观、文化观、道德观。</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4.规范管理实施平安和谐工程</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和完善学生心理健康教育及安全法纪管理制度，普及心理健康教育，培育大学生心理健康三级网络，搭建智能化心理健康与测评综合管理平台，加强心理专兼职咨询师队伍建设，提升心理工作规范度，提升心理健康水平；开展学生常态化安全排查和防范演练，教育、引导学生强化安全、法纪意识；健全应急处置预案，及时处理违纪学生，提醒学生自省、自警、自觉；加强安全舆论信息管理，建设并充分发挥安全信息员队伍作用，形成安全舆论信息及时掌握、快速应对的机制；开展反不良网贷、反传销、反网络信息诈骗等教育活动，提高学生安全防范能力；加强家校联系，强化学生知法、守法观念和意识，打造和谐稳定的平安学院。</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5.强化督导实施优良学风工程</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学风的基础中心地位，开展学风建设月活动，做好先进班集体、优秀宿舍及先进个人的评选评优工作；严肃考风考纪，开展诚信教育，营造优良考风学风；构建学分预警体系，加强管理督促，对学业困难学生开展精准帮扶；加强学生学业指导，试行导师制等举措，加大学生考研、考证和学生参加“挑战杯”等各级学习竞赛活动的指导力度，提高学生专业学习和运用能力，到“十四五”末，力争使优良学风班级达标率90%，研究生报考率30%，录取率10%。</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6.多措并举实施济困助学工程</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爱家庭经济困难学生，进一步完善“经济资助、精神引领、素质提升”相结合的立体资助模式，做好各级各类奖助学金的评选、发放工作，积极倡导志愿服务和公益活动，为学生健康顺利成长创设良好环境和条件。</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7.对标先进实施能力提升工程</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优化队伍结构、深化培养培育、树立示范标杆，着力建设一支专业化水平高、职业认同感强、可持续发展的学生工作队伍，不断提高工作能力。制定辅导员集中学习制度、班主任、学生干部培训制度等，严格工作要求，系统设计和规划辅导员、班主任、学生干部校内外培训，搭建多元化发展平台，举办学生工作研讨会，开展沙龙活动，激发队伍活力，力争1名辅导员在全省辅导员素质能力大赛中获奖。</w:t>
      </w:r>
    </w:p>
    <w:p>
      <w:p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br w:type="page"/>
      </w:r>
    </w:p>
    <w:p>
      <w:pPr>
        <w:keepNext w:val="0"/>
        <w:keepLines w:val="0"/>
        <w:pageBreakBefore w:val="0"/>
        <w:widowControl w:val="0"/>
        <w:kinsoku/>
        <w:wordWrap/>
        <w:overflowPunct/>
        <w:topLinePunct w:val="0"/>
        <w:autoSpaceDE/>
        <w:autoSpaceDN/>
        <w:bidi w:val="0"/>
        <w:spacing w:line="576" w:lineRule="exact"/>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第四部分  规划实施保障措施</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一、坚持党建引领,落实“一岗双责”</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围绕中心抓党建、抓好党建促发展”，进一步加强和改进学院党的建设,加强班子和干部、党员队伍建设,紧紧围绕学院的中心任务,落实“一岗双责”，充分发挥学院党总支的政治核心作用、党支部的战斗堡垒作用和党员先锋模范作用。</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新时代党的建设的总要求，完善学院理论学习中心组学习制度，认真贯彻落实《湖南科技学院教学学院党总支委员会会议议事规则（修订）》《湖南科技学院教学学院党政联席会议议事规则（修订）》等制度,全面提高领导班子的思想政治素质、理论政策水平和管理服务能力，不断提升内部治理能力，全面推进学院治理体系和治理能力现代化。加强各党支部的政治建设、思想建设、组织建设、作风建设及纪律教育,在党员中进一步营造学先进、赶先进、创先进的浓厚氛围。按照“一岗双责”的要求，根据规划的工作任务和目标,建立动态调整机制，加强对学院各项工作的监督、指导，稳步有序抓好各项工作的落实，确保“十四五”规划的顺利实施。</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w:t>
      </w:r>
      <w:r>
        <w:rPr>
          <w:rFonts w:hint="eastAsia" w:ascii="黑体" w:hAnsi="黑体" w:eastAsia="黑体" w:cs="黑体"/>
          <w:kern w:val="2"/>
          <w:sz w:val="32"/>
          <w:szCs w:val="32"/>
          <w:lang w:val="en-US" w:eastAsia="zh-CN" w:bidi="ar-SA"/>
        </w:rPr>
        <w:t>加大改革力度,完善制度建设</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紧紧围绕“申硕”“工程教育专业认证”等重点任务,通过制定和实施与学院发展相适应的管理体制机制,为学院发展提供有效的制度保障。进一步加强教职工的职业理想教育和职业道德教育,强化责任担当,建立教职工思想政治教育的长效机制。以绩效考核为导向,加大绩效考核与奖惩力度,进一步完善内部分配激励机制，充分调动广大教职员工的积极性,激发创新活力。进一步理顺学院内部管理和运行机制 ,推进各方面工作体系的改革,全面提高办学水平和管理能力。</w:t>
      </w:r>
      <w:r>
        <w:rPr>
          <w:rFonts w:hint="eastAsia" w:ascii="仿宋_GB2312" w:hAnsi="仿宋_GB2312" w:eastAsia="仿宋_GB2312" w:cs="仿宋_GB2312"/>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三、明确工作职责,强化规划实施</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学校总体目标和规划,深入分析学院工作的现状、面临的形势和存在的问题,确立发展目标,明确工作重点,落实工作责任,分步骤、分阶段实施发展规划。根据规划提出实施细则,加强可操作性。建立健全规划执行、监督、评估及反馈机制,定期评估规划的实施情况,监督重大项目的执行情况。</w:t>
      </w:r>
      <w:r>
        <w:rPr>
          <w:rFonts w:hint="eastAsia" w:ascii="仿宋_GB2312" w:hAnsi="仿宋_GB2312" w:eastAsia="仿宋_GB2312" w:cs="仿宋_GB2312"/>
          <w:kern w:val="2"/>
          <w:sz w:val="32"/>
          <w:szCs w:val="32"/>
          <w:lang w:val="en-US" w:eastAsia="zh-CN" w:bidi="ar-SA"/>
        </w:rPr>
        <w:br w:type="textWrapping"/>
      </w:r>
    </w:p>
    <w:p>
      <w:pPr>
        <w:keepNext w:val="0"/>
        <w:keepLines w:val="0"/>
        <w:pageBreakBefore w:val="0"/>
        <w:kinsoku/>
        <w:wordWrap/>
        <w:overflowPunct/>
        <w:topLinePunct w:val="0"/>
        <w:autoSpaceDE/>
        <w:autoSpaceDN/>
        <w:bidi w:val="0"/>
        <w:adjustRightInd/>
        <w:snapToGrid/>
        <w:spacing w:beforeAutospacing="0" w:line="560" w:lineRule="exact"/>
        <w:ind w:right="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br w:type="page"/>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firstLine="562" w:firstLineChars="200"/>
        <w:jc w:val="left"/>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附件：信息工程学院“十四五”发展规划核心指标表</w:t>
      </w:r>
    </w:p>
    <w:tbl>
      <w:tblPr>
        <w:tblStyle w:val="8"/>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85"/>
        <w:gridCol w:w="1820"/>
        <w:gridCol w:w="760"/>
        <w:gridCol w:w="747"/>
        <w:gridCol w:w="967"/>
        <w:gridCol w:w="1111"/>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lang w:bidi="ar"/>
              </w:rPr>
              <w:t>序号</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lang w:bidi="ar"/>
              </w:rPr>
              <w:t>类别</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lang w:bidi="ar"/>
              </w:rPr>
              <w:t>指标名称</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2020已有</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2025预期</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指标属性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责任人</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lang w:bidi="ar"/>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专业数量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“电子信息”硕士建设点</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3</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立项国家级一流专业</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4</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lang w:bidi="ar"/>
              </w:rPr>
              <w:t>省级一流专业</w:t>
            </w:r>
            <w:r>
              <w:rPr>
                <w:rFonts w:hint="eastAsia" w:ascii="仿宋" w:hAnsi="仿宋" w:eastAsia="仿宋" w:cs="仿宋"/>
                <w:color w:val="000000"/>
                <w:kern w:val="0"/>
                <w:sz w:val="21"/>
                <w:szCs w:val="21"/>
                <w:lang w:eastAsia="zh-CN" w:bidi="ar"/>
              </w:rPr>
              <w:t>验收</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1</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2</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5</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lang w:eastAsia="zh-CN"/>
              </w:rPr>
            </w:pPr>
            <w:r>
              <w:rPr>
                <w:rFonts w:hint="eastAsia" w:ascii="仿宋" w:hAnsi="仿宋" w:eastAsia="仿宋" w:cs="仿宋"/>
                <w:color w:val="000000"/>
                <w:kern w:val="0"/>
                <w:sz w:val="21"/>
                <w:szCs w:val="21"/>
                <w:lang w:bidi="ar"/>
              </w:rPr>
              <w:t>通过工程教育认证专业</w:t>
            </w:r>
            <w:r>
              <w:rPr>
                <w:rFonts w:hint="eastAsia" w:ascii="仿宋" w:hAnsi="仿宋" w:eastAsia="仿宋" w:cs="仿宋"/>
                <w:color w:val="000000"/>
                <w:kern w:val="0"/>
                <w:sz w:val="21"/>
                <w:szCs w:val="21"/>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6</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专业建设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lang w:eastAsia="zh-CN"/>
              </w:rPr>
            </w:pPr>
            <w:r>
              <w:rPr>
                <w:rFonts w:hint="eastAsia" w:ascii="仿宋" w:hAnsi="仿宋" w:eastAsia="仿宋" w:cs="仿宋"/>
                <w:color w:val="000000"/>
                <w:kern w:val="0"/>
                <w:sz w:val="21"/>
                <w:szCs w:val="21"/>
                <w:lang w:bidi="ar"/>
              </w:rPr>
              <w:t>受理工程教育认证专业</w:t>
            </w:r>
            <w:r>
              <w:rPr>
                <w:rFonts w:hint="eastAsia" w:ascii="仿宋" w:hAnsi="仿宋" w:eastAsia="仿宋" w:cs="仿宋"/>
                <w:color w:val="000000"/>
                <w:kern w:val="0"/>
                <w:sz w:val="21"/>
                <w:szCs w:val="21"/>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7</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课程建设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国家级一流课程</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1</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2</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8</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课程建设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省级一流课程</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9</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课程建设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优秀教材</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2</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4</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预期性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highlight w:val="none"/>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专任教师人数</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11</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专业教师“双师双能”型教师</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16</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22</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12</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博士数量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4</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13</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博士占教师比例</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8</w:t>
            </w:r>
            <w:r>
              <w:rPr>
                <w:rFonts w:hint="eastAsia" w:ascii="仿宋" w:hAnsi="仿宋" w:eastAsia="仿宋" w:cs="仿宋"/>
                <w:color w:val="000000"/>
                <w:kern w:val="0"/>
                <w:sz w:val="21"/>
                <w:szCs w:val="21"/>
                <w:lang w:bidi="ar"/>
              </w:rPr>
              <w:t>%</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25</w:t>
            </w:r>
            <w:r>
              <w:rPr>
                <w:rFonts w:hint="eastAsia" w:ascii="仿宋" w:hAnsi="仿宋" w:eastAsia="仿宋" w:cs="仿宋"/>
                <w:color w:val="000000"/>
                <w:kern w:val="0"/>
                <w:sz w:val="21"/>
                <w:szCs w:val="21"/>
                <w:lang w:bidi="ar"/>
              </w:rPr>
              <w:t>%</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14</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正高职称</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尹向东</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15</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师资建设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教师获得省级以上教学竞赛奖</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eastAsia="zh-CN" w:bidi="ar"/>
              </w:rPr>
            </w:pPr>
            <w:r>
              <w:rPr>
                <w:rFonts w:hint="eastAsia" w:ascii="仿宋" w:hAnsi="仿宋" w:eastAsia="仿宋" w:cs="仿宋"/>
                <w:color w:val="000000"/>
                <w:kern w:val="0"/>
                <w:sz w:val="21"/>
                <w:szCs w:val="21"/>
                <w:highlight w:val="none"/>
                <w:lang w:val="en-US" w:eastAsia="zh-CN" w:bidi="ar"/>
              </w:rPr>
              <w:t>5</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11</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16</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立项国家级课题</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17</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立项省级应用特色学科</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预期性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18</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立项省级学科平台（省级重点实验室、工程中心等）</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预期性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19</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省级科技奖</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省级人才称号</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预期性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21</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联合培养硕士生</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22</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获得发明专利数量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bidi="ar"/>
              </w:rPr>
            </w:pPr>
            <w:r>
              <w:rPr>
                <w:rFonts w:hint="eastAsia" w:ascii="仿宋" w:hAnsi="仿宋" w:eastAsia="仿宋" w:cs="仿宋"/>
                <w:i w:val="0"/>
                <w:color w:val="000000"/>
                <w:kern w:val="0"/>
                <w:sz w:val="21"/>
                <w:szCs w:val="21"/>
                <w:u w:val="none"/>
                <w:lang w:val="en-US" w:eastAsia="zh-CN" w:bidi="ar"/>
              </w:rPr>
              <w:t>10</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23</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专利成功转化数量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24</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发表论文数量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25</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25</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学科建设</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申报省级以上项目课题数量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罗恩韬</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u w:val="none"/>
                <w:lang w:val="en-US" w:eastAsia="zh-CN" w:bidi="ar"/>
              </w:rPr>
              <w:t>26</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教学平台建设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eastAsia="zh-CN" w:bidi="ar"/>
              </w:rPr>
            </w:pPr>
            <w:r>
              <w:rPr>
                <w:rFonts w:hint="eastAsia" w:ascii="仿宋" w:hAnsi="仿宋" w:eastAsia="仿宋" w:cs="仿宋"/>
                <w:color w:val="000000"/>
                <w:kern w:val="0"/>
                <w:sz w:val="21"/>
                <w:szCs w:val="21"/>
                <w:highlight w:val="none"/>
                <w:lang w:bidi="ar"/>
              </w:rPr>
              <w:t>省级以上教学平台项目</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5</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8</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27</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实验室建设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专业实验平台</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5</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7</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28</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实验室建设</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企业工作室</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3</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6</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29</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实践教学</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校外实习基地</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15</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30</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创新创业</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国家级创业实践项目、创新训练项目</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6</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12</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31</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创新创业</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省级创业实践项目</w:t>
            </w: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bidi="ar"/>
              </w:rPr>
              <w:t>创新训练项目</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20</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32</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学科竞赛</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21"/>
                <w:szCs w:val="21"/>
                <w:highlight w:val="none"/>
                <w:lang w:bidi="ar"/>
              </w:rPr>
              <w:t>国家级学科竞赛奖</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6</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u w:val="none"/>
                <w:lang w:val="en-US" w:eastAsia="zh-CN" w:bidi="ar"/>
              </w:rPr>
              <w:t>33</w:t>
            </w:r>
          </w:p>
        </w:tc>
        <w:tc>
          <w:tcPr>
            <w:tcW w:w="1385"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学科竞赛</w:t>
            </w:r>
          </w:p>
        </w:tc>
        <w:tc>
          <w:tcPr>
            <w:tcW w:w="182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省级学科竞赛</w:t>
            </w:r>
            <w:r>
              <w:rPr>
                <w:rFonts w:hint="eastAsia" w:ascii="仿宋" w:hAnsi="仿宋" w:eastAsia="仿宋" w:cs="仿宋"/>
                <w:color w:val="000000"/>
                <w:kern w:val="0"/>
                <w:sz w:val="21"/>
                <w:szCs w:val="21"/>
                <w:highlight w:val="none"/>
                <w:lang w:eastAsia="zh-CN" w:bidi="ar"/>
              </w:rPr>
              <w:t>数量</w:t>
            </w:r>
          </w:p>
        </w:tc>
        <w:tc>
          <w:tcPr>
            <w:tcW w:w="760"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50</w:t>
            </w:r>
          </w:p>
        </w:tc>
        <w:tc>
          <w:tcPr>
            <w:tcW w:w="74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85</w:t>
            </w:r>
          </w:p>
        </w:tc>
        <w:tc>
          <w:tcPr>
            <w:tcW w:w="967"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约束性</w:t>
            </w:r>
          </w:p>
        </w:tc>
        <w:tc>
          <w:tcPr>
            <w:tcW w:w="1111"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张彬</w:t>
            </w:r>
          </w:p>
        </w:tc>
        <w:tc>
          <w:tcPr>
            <w:tcW w:w="739" w:type="dxa"/>
            <w:vAlign w:val="center"/>
          </w:tcPr>
          <w:p>
            <w:pPr>
              <w:keepNext w:val="0"/>
              <w:keepLines w:val="0"/>
              <w:pageBreakBefore w:val="0"/>
              <w:widowControl/>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34</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党建引领</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辅导员获全省辅导员能力素质大赛奖励数量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谢一民</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35</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党建引领</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学生获得省级评优数量</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谢一民</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36</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学生培养</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考研报考率</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15%</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30%</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夏汉伟</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37</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学生培养</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考研录取率</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夏汉伟</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38</w:t>
            </w:r>
          </w:p>
        </w:tc>
        <w:tc>
          <w:tcPr>
            <w:tcW w:w="13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学生培养</w:t>
            </w:r>
          </w:p>
        </w:tc>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毕业生就业率</w:t>
            </w:r>
          </w:p>
        </w:tc>
        <w:tc>
          <w:tcPr>
            <w:tcW w:w="7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89%</w:t>
            </w:r>
          </w:p>
        </w:tc>
        <w:tc>
          <w:tcPr>
            <w:tcW w:w="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92%</w:t>
            </w:r>
          </w:p>
        </w:tc>
        <w:tc>
          <w:tcPr>
            <w:tcW w:w="96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约束性</w:t>
            </w:r>
          </w:p>
        </w:tc>
        <w:tc>
          <w:tcPr>
            <w:tcW w:w="11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谢一民</w:t>
            </w:r>
          </w:p>
        </w:tc>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ind w:right="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2025</w:t>
            </w:r>
          </w:p>
        </w:tc>
      </w:tr>
    </w:tbl>
    <w:p>
      <w:pPr>
        <w:keepNext w:val="0"/>
        <w:keepLines w:val="0"/>
        <w:pageBreakBefore w:val="0"/>
        <w:kinsoku/>
        <w:wordWrap/>
        <w:overflowPunct/>
        <w:topLinePunct w:val="0"/>
        <w:autoSpaceDE/>
        <w:autoSpaceDN/>
        <w:bidi w:val="0"/>
        <w:adjustRightInd/>
        <w:snapToGrid/>
        <w:spacing w:beforeAutospacing="0" w:line="560" w:lineRule="exact"/>
        <w:ind w:right="0"/>
        <w:jc w:val="right"/>
        <w:rPr>
          <w:rFonts w:hint="eastAsia" w:ascii="黑体" w:hAnsi="黑体" w:eastAsia="黑体" w:cs="黑体"/>
          <w:sz w:val="30"/>
          <w:szCs w:val="30"/>
          <w:lang w:eastAsia="zh-CN"/>
        </w:rPr>
      </w:pPr>
    </w:p>
    <w:p>
      <w:pPr>
        <w:keepNext w:val="0"/>
        <w:keepLines w:val="0"/>
        <w:pageBreakBefore w:val="0"/>
        <w:kinsoku/>
        <w:wordWrap/>
        <w:overflowPunct/>
        <w:topLinePunct w:val="0"/>
        <w:autoSpaceDE/>
        <w:autoSpaceDN/>
        <w:bidi w:val="0"/>
        <w:adjustRightInd/>
        <w:snapToGrid/>
        <w:spacing w:beforeAutospacing="0" w:line="560" w:lineRule="exact"/>
        <w:ind w:right="0"/>
        <w:jc w:val="right"/>
        <w:rPr>
          <w:rFonts w:hint="eastAsia" w:ascii="黑体" w:hAnsi="黑体" w:eastAsia="黑体" w:cs="黑体"/>
          <w:sz w:val="30"/>
          <w:szCs w:val="30"/>
          <w:lang w:eastAsia="zh-CN"/>
        </w:rPr>
      </w:pPr>
    </w:p>
    <w:p>
      <w:pPr>
        <w:keepNext w:val="0"/>
        <w:keepLines w:val="0"/>
        <w:pageBreakBefore w:val="0"/>
        <w:kinsoku/>
        <w:wordWrap/>
        <w:overflowPunct/>
        <w:topLinePunct w:val="0"/>
        <w:autoSpaceDE/>
        <w:autoSpaceDN/>
        <w:bidi w:val="0"/>
        <w:adjustRightInd/>
        <w:snapToGrid/>
        <w:spacing w:beforeAutospacing="0" w:line="560" w:lineRule="exact"/>
        <w:ind w:right="0"/>
        <w:jc w:val="righ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A64CE"/>
    <w:rsid w:val="01201956"/>
    <w:rsid w:val="01BA744F"/>
    <w:rsid w:val="031B7606"/>
    <w:rsid w:val="03811A1C"/>
    <w:rsid w:val="03833F32"/>
    <w:rsid w:val="03A907F0"/>
    <w:rsid w:val="05A55FB3"/>
    <w:rsid w:val="05F51DF4"/>
    <w:rsid w:val="065454AC"/>
    <w:rsid w:val="06783456"/>
    <w:rsid w:val="06CF3C2A"/>
    <w:rsid w:val="07C902F6"/>
    <w:rsid w:val="08A15BC6"/>
    <w:rsid w:val="08B02653"/>
    <w:rsid w:val="0970698A"/>
    <w:rsid w:val="0AF96C31"/>
    <w:rsid w:val="0B4D0647"/>
    <w:rsid w:val="0B7732C2"/>
    <w:rsid w:val="0BCD24F3"/>
    <w:rsid w:val="0CC222ED"/>
    <w:rsid w:val="0DE25399"/>
    <w:rsid w:val="0DE27B30"/>
    <w:rsid w:val="0E3D1735"/>
    <w:rsid w:val="0E9E5B1C"/>
    <w:rsid w:val="0F0D49D6"/>
    <w:rsid w:val="0FDC5212"/>
    <w:rsid w:val="103F70A9"/>
    <w:rsid w:val="107172BB"/>
    <w:rsid w:val="10C631DB"/>
    <w:rsid w:val="11DD2EBA"/>
    <w:rsid w:val="149C2932"/>
    <w:rsid w:val="15710D46"/>
    <w:rsid w:val="157F6306"/>
    <w:rsid w:val="15F17272"/>
    <w:rsid w:val="16E532DE"/>
    <w:rsid w:val="17F67312"/>
    <w:rsid w:val="185136E0"/>
    <w:rsid w:val="192D3135"/>
    <w:rsid w:val="19EA3C85"/>
    <w:rsid w:val="1B161E5A"/>
    <w:rsid w:val="1B6B152D"/>
    <w:rsid w:val="1D104636"/>
    <w:rsid w:val="1D5443E9"/>
    <w:rsid w:val="1D5744A0"/>
    <w:rsid w:val="1D605A86"/>
    <w:rsid w:val="20364133"/>
    <w:rsid w:val="20E850D7"/>
    <w:rsid w:val="2203747E"/>
    <w:rsid w:val="2241377D"/>
    <w:rsid w:val="23B759A8"/>
    <w:rsid w:val="24CC2791"/>
    <w:rsid w:val="279C417A"/>
    <w:rsid w:val="281335F4"/>
    <w:rsid w:val="28675E9B"/>
    <w:rsid w:val="28831CFC"/>
    <w:rsid w:val="2AF4798F"/>
    <w:rsid w:val="2B284B29"/>
    <w:rsid w:val="2B8D6493"/>
    <w:rsid w:val="2B917ADC"/>
    <w:rsid w:val="2CA721DA"/>
    <w:rsid w:val="2F3C698E"/>
    <w:rsid w:val="2FC877B0"/>
    <w:rsid w:val="305B435E"/>
    <w:rsid w:val="30C743FC"/>
    <w:rsid w:val="311A4E9D"/>
    <w:rsid w:val="329D6A1B"/>
    <w:rsid w:val="34055570"/>
    <w:rsid w:val="35A26247"/>
    <w:rsid w:val="35CF41B4"/>
    <w:rsid w:val="36E17FCB"/>
    <w:rsid w:val="37721D88"/>
    <w:rsid w:val="3A4B6CFF"/>
    <w:rsid w:val="3A6B6E84"/>
    <w:rsid w:val="3B7B0FA0"/>
    <w:rsid w:val="3D8C4D6C"/>
    <w:rsid w:val="3ED02591"/>
    <w:rsid w:val="3EDE62E3"/>
    <w:rsid w:val="40784D09"/>
    <w:rsid w:val="40B92832"/>
    <w:rsid w:val="40BC4142"/>
    <w:rsid w:val="42A668F6"/>
    <w:rsid w:val="43733295"/>
    <w:rsid w:val="43E42824"/>
    <w:rsid w:val="44E17299"/>
    <w:rsid w:val="45136067"/>
    <w:rsid w:val="46CE7F14"/>
    <w:rsid w:val="47C86B9D"/>
    <w:rsid w:val="48B13774"/>
    <w:rsid w:val="498E3D31"/>
    <w:rsid w:val="4A330BDB"/>
    <w:rsid w:val="4B1E4872"/>
    <w:rsid w:val="4DA21CB1"/>
    <w:rsid w:val="509C5862"/>
    <w:rsid w:val="52BC76DB"/>
    <w:rsid w:val="53343E48"/>
    <w:rsid w:val="537809EF"/>
    <w:rsid w:val="539A64CE"/>
    <w:rsid w:val="55CB58DF"/>
    <w:rsid w:val="56391EA8"/>
    <w:rsid w:val="56415F23"/>
    <w:rsid w:val="57AA0EEC"/>
    <w:rsid w:val="585613B6"/>
    <w:rsid w:val="59965597"/>
    <w:rsid w:val="59E410EB"/>
    <w:rsid w:val="5C7F5C20"/>
    <w:rsid w:val="5D576F6D"/>
    <w:rsid w:val="5D73747A"/>
    <w:rsid w:val="60FB3015"/>
    <w:rsid w:val="6339152A"/>
    <w:rsid w:val="633E1998"/>
    <w:rsid w:val="641E1F32"/>
    <w:rsid w:val="660E22FC"/>
    <w:rsid w:val="667E2D0C"/>
    <w:rsid w:val="66CE003A"/>
    <w:rsid w:val="68DA6CB6"/>
    <w:rsid w:val="693A1038"/>
    <w:rsid w:val="6A276CB4"/>
    <w:rsid w:val="6AA81275"/>
    <w:rsid w:val="6B085C78"/>
    <w:rsid w:val="6CD4642D"/>
    <w:rsid w:val="6D5567DC"/>
    <w:rsid w:val="6DA00329"/>
    <w:rsid w:val="6EAD7265"/>
    <w:rsid w:val="6EBD3909"/>
    <w:rsid w:val="6F2A6D83"/>
    <w:rsid w:val="70283A21"/>
    <w:rsid w:val="716E5435"/>
    <w:rsid w:val="72A528AC"/>
    <w:rsid w:val="72B8353F"/>
    <w:rsid w:val="73B13569"/>
    <w:rsid w:val="745145A3"/>
    <w:rsid w:val="749B2347"/>
    <w:rsid w:val="7774618C"/>
    <w:rsid w:val="78710135"/>
    <w:rsid w:val="790B7B03"/>
    <w:rsid w:val="7A142F15"/>
    <w:rsid w:val="7AB51F16"/>
    <w:rsid w:val="7D635E6A"/>
    <w:rsid w:val="7E907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ody Text Indent 2"/>
    <w:basedOn w:val="1"/>
    <w:qFormat/>
    <w:uiPriority w:val="0"/>
    <w:pPr>
      <w:spacing w:before="100" w:beforeAutospacing="1"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自评报告正文"/>
    <w:basedOn w:val="6"/>
    <w:qFormat/>
    <w:uiPriority w:val="99"/>
    <w:pPr>
      <w:widowControl/>
      <w:spacing w:before="100" w:after="100" w:line="360" w:lineRule="auto"/>
      <w:ind w:firstLine="643" w:firstLineChars="200"/>
    </w:pPr>
    <w:rPr>
      <w:rFonts w:ascii="Calibri" w:hAnsi="Calibri" w:eastAsia="仿宋"/>
      <w:kern w:val="0"/>
      <w:sz w:val="28"/>
      <w:szCs w:val="20"/>
    </w:rPr>
  </w:style>
  <w:style w:type="paragraph" w:customStyle="1" w:styleId="11">
    <w:name w:val="标准4"/>
    <w:basedOn w:val="1"/>
    <w:qFormat/>
    <w:uiPriority w:val="99"/>
    <w:pPr>
      <w:adjustRightInd w:val="0"/>
      <w:spacing w:before="120" w:after="120" w:line="312" w:lineRule="atLeast"/>
      <w:textAlignment w:val="baseline"/>
    </w:pPr>
    <w:rPr>
      <w:rFonts w:ascii="宋体" w:hAnsi="Times New Roman"/>
      <w:kern w:val="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2021-06-01T00:52:00Z</dcterms:created>
  <dc:creator>东东</dc:creator>
  <lastModifiedBy>黑雨</lastModifiedBy>
  <lastPrinted>2021-06-01T00:52:00Z</lastPrinted>
  <dcterms:modified xsi:type="dcterms:W3CDTF">2021-11-22T10:20:00Z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19037B61CE554B1A8C5A5DCC20F17971</vt:lpwstr>
  </property>
</Properties>
</file>