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BF" w:rsidRPr="00501EBF" w:rsidRDefault="00501EBF" w:rsidP="00501EBF">
      <w:pPr>
        <w:widowControl/>
        <w:shd w:val="clear" w:color="auto" w:fill="FFFFFF"/>
        <w:spacing w:before="300" w:after="600" w:line="450" w:lineRule="atLeast"/>
        <w:jc w:val="center"/>
        <w:outlineLvl w:val="2"/>
        <w:rPr>
          <w:rFonts w:ascii="微软雅黑" w:eastAsia="微软雅黑" w:hAnsi="微软雅黑" w:cs="Helvetica"/>
          <w:color w:val="2F2F2F"/>
          <w:kern w:val="0"/>
          <w:sz w:val="33"/>
          <w:szCs w:val="33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33"/>
          <w:szCs w:val="33"/>
          <w:lang/>
        </w:rPr>
        <w:t>2019年度国家体育总局决策咨询 研究项目目录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b/>
          <w:bCs/>
          <w:color w:val="2F2F2F"/>
          <w:kern w:val="0"/>
          <w:sz w:val="24"/>
          <w:szCs w:val="24"/>
          <w:lang/>
        </w:rPr>
        <w:t>一、重大项目（11个）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（一）习近平总书记关于体育的重要论述研究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（二）</w:t>
      </w:r>
      <w:proofErr w:type="gramStart"/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历代党</w:t>
      </w:r>
      <w:proofErr w:type="gramEnd"/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和国家领导人体育观研究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（三）奥运冠军成长规律研究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（四）群众“健身难”问题破解路径研究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（五）我国备战奥运会经验的系统梳理与现实启示研究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（六）“恶补体能训练短板”研究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（七）足球改革发展进程中深层次制约因素对策研究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（八）2022年北京冬奥会我国重点项目、潜在优势项目备战策略研究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（九）深化改革背景下全国性单项体育协会治理机制研究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（十）构建我国体育市场监管体系研究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（十一）新时代体育事业发展综合评价体系研究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b/>
          <w:bCs/>
          <w:color w:val="2F2F2F"/>
          <w:kern w:val="0"/>
          <w:sz w:val="24"/>
          <w:szCs w:val="24"/>
          <w:lang/>
        </w:rPr>
        <w:t>二、重点项目（25个）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（一）我国备战参赛2022年亚运会“杭州计划”研究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lastRenderedPageBreak/>
        <w:t>（二）国家队教练员聘用和激励机制改革研究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（三）新时代优秀运动队思想政治工作研究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（四）我国冰雪项目后备人才培养保障政策设计研究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（五）提升基层体育协会服务社会能力研究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（六）新时代青少年体育后备人才培养模式研究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（七）体育赛事“一站式”服务机制研究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（八）新兴体育项目管理有关问题研究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（九）地方单项体育协会实体化改革路径研究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（十）地方足球治理体系研究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（十一）乡村体育振兴融合发展路径与策略研究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（十二）体育市场“黑名单”制度建设与组织实施研究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（十三）体育产业与</w:t>
      </w:r>
      <w:proofErr w:type="gramStart"/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文旅产业</w:t>
      </w:r>
      <w:proofErr w:type="gramEnd"/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融合发展研究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（十四）健康中国战略下体育产业与健康产业融合发展机制研究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（十五）区域体育协同发展机制研究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（十六）东北振兴背景下东北三省冰雪运动发展研究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lastRenderedPageBreak/>
        <w:t>（十七）地方备战北京冬奥会的人才保障机制研究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（十八）民族民间民俗体育文化挖掘与传承研究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（十九）群众性体育赛事治理机制创新研究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（二十）“一带一路”沿线国家武术国际传播方略研究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（二十一）完善国家体育市场管理法律制度研究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（二十二）健康中国背景下健身气功中长期发展规划研究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（二十三）完善体育行政处罚法律规范研究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（二十四）我国职业足球</w:t>
      </w:r>
      <w:proofErr w:type="gramStart"/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青训与校园</w:t>
      </w:r>
      <w:proofErr w:type="gramEnd"/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足球衔接体系研究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（二十五）新时代我国体育法治框架体系研究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b/>
          <w:bCs/>
          <w:color w:val="2F2F2F"/>
          <w:kern w:val="0"/>
          <w:sz w:val="24"/>
          <w:szCs w:val="24"/>
          <w:lang/>
        </w:rPr>
        <w:t>三、一般项目（30）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（一）奥运备战决策咨询工作体系构建研究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（二）奥运备战及复合型团队法律保障体系研究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（三）城市马拉松旅游效应与创新发展研究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（四）我国退役运动员转型就业问题与对策研究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（五）新时代背景下社会体育指导员管理制度创新研究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lastRenderedPageBreak/>
        <w:t>（六）冬季奥运会中国体育话语权的提升策略研究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（七）英、德、法、日、加拿大等国体育ADR（替代性纠纷解决）机制比较研究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（八）乡镇（街道）体育管理体制和运行机制研究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（九）全运会场馆赛后利用研究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（十）我国体育产业发展与金融支持模式研究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（十一）我国青少年科学健身素养状况与促进策略研究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（十二）我国冰雪运动产业高质量发展内涵及标准研究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（十三）新时期提升我国体育哲学社会科学国际话语权研究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（十四）人工智能应用与体育传播方式变革研究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（十五）国际青少年身体活动促进行动框架与干预策略及其中国启示研究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（十六）大型体育场馆公共服务补贴政策的实施效果及转变方式研究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（十七）国家体育产业基地建设现状与应对路径研究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（十八）新时代退役运动员对接健身教练国家职业资格培训创新模式研究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（十九）社会力量投资运营体育场馆的政策瓶颈及其消解路径研究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（二十）健康中国视域下体</w:t>
      </w:r>
      <w:proofErr w:type="gramStart"/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医</w:t>
      </w:r>
      <w:proofErr w:type="gramEnd"/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深度融合与协同发展路径研究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lastRenderedPageBreak/>
        <w:t>（二十一）中国篮球协会实体化组织运行绩效研究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（二十二）体育强国战略视域下体育国际人才培养体系建构研究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（二十三）“体育＋”在阻断贫困地区贫困代际传递中的作用研究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（二十四）体育促进乡村振兴的路径及政策研究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（二十五）基于体</w:t>
      </w:r>
      <w:proofErr w:type="gramStart"/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医</w:t>
      </w:r>
      <w:proofErr w:type="gramEnd"/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融合的社区健康促进创新模式研究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（二十六）中国乒乓球发展史研究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（二十七）中国传统体育文化海外传播新模式研究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（二十八）大众科学健身指导普及性出版物研究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（二十九）体育产业促进就业的渠道与政策研究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  <w:r w:rsidRPr="00501EBF"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  <w:t>（三十）美国三大球发展镜鉴与启示研究</w:t>
      </w:r>
    </w:p>
    <w:p w:rsidR="00501EBF" w:rsidRPr="00501EBF" w:rsidRDefault="00501EBF" w:rsidP="00501EBF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Helvetica" w:hint="eastAsia"/>
          <w:color w:val="2F2F2F"/>
          <w:kern w:val="0"/>
          <w:sz w:val="24"/>
          <w:szCs w:val="24"/>
          <w:lang/>
        </w:rPr>
      </w:pPr>
    </w:p>
    <w:p w:rsidR="00701AB8" w:rsidRPr="00501EBF" w:rsidRDefault="00701AB8">
      <w:pPr>
        <w:rPr>
          <w:lang/>
        </w:rPr>
      </w:pPr>
    </w:p>
    <w:sectPr w:rsidR="00701AB8" w:rsidRPr="00501EBF" w:rsidSect="00701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317" w:rsidRDefault="003C3317" w:rsidP="00501EBF">
      <w:r>
        <w:separator/>
      </w:r>
    </w:p>
  </w:endnote>
  <w:endnote w:type="continuationSeparator" w:id="0">
    <w:p w:rsidR="003C3317" w:rsidRDefault="003C3317" w:rsidP="00501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317" w:rsidRDefault="003C3317" w:rsidP="00501EBF">
      <w:r>
        <w:separator/>
      </w:r>
    </w:p>
  </w:footnote>
  <w:footnote w:type="continuationSeparator" w:id="0">
    <w:p w:rsidR="003C3317" w:rsidRDefault="003C3317" w:rsidP="00501E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EBF"/>
    <w:rsid w:val="003C3317"/>
    <w:rsid w:val="00501EBF"/>
    <w:rsid w:val="00701AB8"/>
    <w:rsid w:val="007B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B8"/>
    <w:pPr>
      <w:widowControl w:val="0"/>
    </w:pPr>
  </w:style>
  <w:style w:type="paragraph" w:styleId="3">
    <w:name w:val="heading 3"/>
    <w:basedOn w:val="a"/>
    <w:link w:val="3Char"/>
    <w:uiPriority w:val="9"/>
    <w:qFormat/>
    <w:rsid w:val="00501EB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E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1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1EB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01EBF"/>
    <w:rPr>
      <w:rFonts w:ascii="宋体" w:eastAsia="宋体" w:hAnsi="宋体" w:cs="宋体"/>
      <w:kern w:val="0"/>
      <w:sz w:val="27"/>
      <w:szCs w:val="27"/>
    </w:rPr>
  </w:style>
  <w:style w:type="character" w:styleId="a5">
    <w:name w:val="Strong"/>
    <w:basedOn w:val="a0"/>
    <w:uiPriority w:val="22"/>
    <w:qFormat/>
    <w:rsid w:val="00501E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</Words>
  <Characters>1344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2019-01-23T09:42:00Z</dcterms:created>
  <dc:creator>admin</dc:creator>
  <cp:lastModifiedBy>admin</cp:lastModifiedBy>
  <dcterms:modified xsi:type="dcterms:W3CDTF">2019-01-23T09:42:00Z</dcterms:modified>
  <cp:revision>2</cp:revision>
</cp:coreProperties>
</file>