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361" w:firstLineChars="100"/>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附件1：  湖南科技学院棚改房电梯采购需求</w:t>
      </w:r>
      <w:bookmarkStart w:id="0" w:name="_Toc34208613"/>
      <w:bookmarkStart w:id="1" w:name="_Toc14629"/>
    </w:p>
    <w:bookmarkEnd w:id="0"/>
    <w:bookmarkEnd w:id="1"/>
    <w:p>
      <w:pPr>
        <w:numPr>
          <w:ilvl w:val="0"/>
          <w:numId w:val="0"/>
        </w:numP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一、项目清单</w:t>
      </w:r>
    </w:p>
    <w:tbl>
      <w:tblPr>
        <w:tblStyle w:val="9"/>
        <w:tblW w:w="898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973"/>
        <w:gridCol w:w="3361"/>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407"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货物名称</w:t>
            </w:r>
          </w:p>
        </w:tc>
        <w:tc>
          <w:tcPr>
            <w:tcW w:w="2973"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 w:hAnsi="仿宋" w:eastAsia="仿宋" w:cs="仿宋"/>
                <w:b/>
                <w:bCs/>
                <w:sz w:val="24"/>
                <w:szCs w:val="24"/>
              </w:rPr>
            </w:pPr>
            <w:r>
              <w:rPr>
                <w:rFonts w:hint="eastAsia" w:ascii="仿宋" w:hAnsi="仿宋" w:eastAsia="仿宋" w:cs="仿宋"/>
                <w:b/>
                <w:bCs/>
                <w:sz w:val="24"/>
                <w:szCs w:val="24"/>
              </w:rPr>
              <w:t>数量</w:t>
            </w:r>
          </w:p>
        </w:tc>
        <w:tc>
          <w:tcPr>
            <w:tcW w:w="3361"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 w:hAnsi="仿宋" w:eastAsia="仿宋" w:cs="仿宋"/>
                <w:b/>
                <w:bCs/>
                <w:sz w:val="24"/>
                <w:szCs w:val="24"/>
              </w:rPr>
            </w:pPr>
            <w:r>
              <w:rPr>
                <w:rFonts w:hint="eastAsia" w:ascii="仿宋" w:hAnsi="仿宋" w:eastAsia="仿宋" w:cs="仿宋"/>
                <w:b/>
                <w:bCs/>
                <w:kern w:val="0"/>
                <w:sz w:val="24"/>
                <w:szCs w:val="24"/>
              </w:rPr>
              <w:t>简要技术要求</w:t>
            </w:r>
          </w:p>
        </w:tc>
        <w:tc>
          <w:tcPr>
            <w:tcW w:w="1241" w:type="dxa"/>
            <w:noWrap w:val="0"/>
            <w:vAlign w:val="center"/>
          </w:tcPr>
          <w:p>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仿宋" w:hAnsi="仿宋" w:eastAsia="仿宋" w:cs="仿宋"/>
                <w:b/>
                <w:bCs/>
                <w:sz w:val="24"/>
                <w:szCs w:val="24"/>
              </w:rPr>
            </w:pPr>
            <w:r>
              <w:rPr>
                <w:rFonts w:hint="eastAsia" w:ascii="仿宋" w:hAnsi="仿宋" w:eastAsia="仿宋" w:cs="仿宋"/>
                <w:b/>
                <w:bCs/>
                <w:kern w:val="0"/>
                <w:sz w:val="24"/>
                <w:szCs w:val="24"/>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07" w:type="dxa"/>
            <w:noWrap w:val="0"/>
            <w:vAlign w:val="center"/>
          </w:tcPr>
          <w:p>
            <w:pPr>
              <w:keepNext w:val="0"/>
              <w:keepLines w:val="0"/>
              <w:pageBreakBefore w:val="0"/>
              <w:kinsoku/>
              <w:wordWrap/>
              <w:overflowPunct/>
              <w:topLinePunct w:val="0"/>
              <w:autoSpaceDE/>
              <w:autoSpaceDN/>
              <w:bidi w:val="0"/>
              <w:spacing w:line="320" w:lineRule="exact"/>
              <w:jc w:val="center"/>
              <w:rPr>
                <w:rFonts w:hint="eastAsia" w:ascii="仿宋" w:hAnsi="仿宋" w:eastAsia="仿宋" w:cs="仿宋"/>
                <w:sz w:val="24"/>
                <w:szCs w:val="24"/>
              </w:rPr>
            </w:pPr>
            <w:r>
              <w:rPr>
                <w:rFonts w:hint="eastAsia" w:ascii="仿宋" w:hAnsi="仿宋" w:eastAsia="仿宋" w:cs="仿宋"/>
                <w:i w:val="0"/>
                <w:iCs w:val="0"/>
                <w:caps w:val="0"/>
                <w:color w:val="333333"/>
                <w:spacing w:val="0"/>
                <w:sz w:val="24"/>
                <w:szCs w:val="24"/>
                <w:shd w:val="clear" w:fill="FFFFFF"/>
                <w:lang w:eastAsia="zh-CN"/>
              </w:rPr>
              <w:t>电梯</w:t>
            </w:r>
          </w:p>
        </w:tc>
        <w:tc>
          <w:tcPr>
            <w:tcW w:w="2973"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共20台</w:t>
            </w:r>
          </w:p>
          <w:p>
            <w:pPr>
              <w:keepNext w:val="0"/>
              <w:keepLines w:val="0"/>
              <w:pageBreakBefore w:val="0"/>
              <w:widowControl/>
              <w:kinsoku/>
              <w:wordWrap/>
              <w:overflowPunct/>
              <w:topLinePunct w:val="0"/>
              <w:autoSpaceDE/>
              <w:autoSpaceDN/>
              <w:bidi w:val="0"/>
              <w:spacing w:line="320" w:lineRule="exact"/>
              <w:jc w:val="center"/>
              <w:textAlignment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（其中：消防电梯10台，</w:t>
            </w:r>
          </w:p>
          <w:p>
            <w:pPr>
              <w:keepNext w:val="0"/>
              <w:keepLines w:val="0"/>
              <w:pageBreakBefore w:val="0"/>
              <w:widowControl/>
              <w:kinsoku/>
              <w:wordWrap/>
              <w:overflowPunct/>
              <w:topLinePunct w:val="0"/>
              <w:autoSpaceDE/>
              <w:autoSpaceDN/>
              <w:bidi w:val="0"/>
              <w:spacing w:line="320" w:lineRule="exact"/>
              <w:jc w:val="center"/>
              <w:textAlignment w:val="center"/>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无障碍单架电梯10台）</w:t>
            </w:r>
          </w:p>
        </w:tc>
        <w:tc>
          <w:tcPr>
            <w:tcW w:w="3361" w:type="dxa"/>
            <w:noWrap w:val="0"/>
            <w:vAlign w:val="center"/>
          </w:tcPr>
          <w:p>
            <w:pPr>
              <w:keepNext w:val="0"/>
              <w:keepLines w:val="0"/>
              <w:pageBreakBefore w:val="0"/>
              <w:widowControl/>
              <w:kinsoku/>
              <w:wordWrap/>
              <w:overflowPunct/>
              <w:topLinePunct w:val="0"/>
              <w:autoSpaceDE/>
              <w:autoSpaceDN/>
              <w:bidi w:val="0"/>
              <w:spacing w:line="320" w:lineRule="exact"/>
              <w:jc w:val="center"/>
              <w:textAlignment w:val="center"/>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载重：13人（1000kg），速度：1.75m/s，详细要求见采购需求</w:t>
            </w:r>
          </w:p>
          <w:p>
            <w:pPr>
              <w:keepNext w:val="0"/>
              <w:keepLines w:val="0"/>
              <w:pageBreakBefore w:val="0"/>
              <w:widowControl/>
              <w:kinsoku/>
              <w:wordWrap/>
              <w:overflowPunct/>
              <w:topLinePunct w:val="0"/>
              <w:autoSpaceDE/>
              <w:autoSpaceDN/>
              <w:bidi w:val="0"/>
              <w:spacing w:line="320" w:lineRule="exact"/>
              <w:jc w:val="both"/>
              <w:textAlignment w:val="center"/>
              <w:rPr>
                <w:rFonts w:hint="eastAsia"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及电梯土建设计参数收集表</w:t>
            </w:r>
          </w:p>
        </w:tc>
        <w:tc>
          <w:tcPr>
            <w:tcW w:w="1241" w:type="dxa"/>
            <w:noWrap w:val="0"/>
            <w:vAlign w:val="center"/>
          </w:tcPr>
          <w:p>
            <w:pPr>
              <w:keepNext w:val="0"/>
              <w:keepLines w:val="0"/>
              <w:pageBreakBefore w:val="0"/>
              <w:kinsoku/>
              <w:wordWrap/>
              <w:overflowPunct/>
              <w:topLinePunct w:val="0"/>
              <w:autoSpaceDE/>
              <w:autoSpaceDN/>
              <w:bidi w:val="0"/>
              <w:spacing w:line="320" w:lineRule="exact"/>
              <w:jc w:val="center"/>
              <w:textAlignment w:val="center"/>
              <w:rPr>
                <w:rFonts w:hint="eastAsia" w:ascii="仿宋" w:hAnsi="仿宋" w:eastAsia="仿宋" w:cs="仿宋"/>
                <w:bCs/>
                <w:color w:val="000000"/>
                <w:sz w:val="24"/>
                <w:szCs w:val="24"/>
                <w:lang w:eastAsia="zh-CN"/>
              </w:rPr>
            </w:pPr>
            <w:r>
              <w:rPr>
                <w:rFonts w:hint="eastAsia" w:ascii="仿宋" w:hAnsi="仿宋" w:eastAsia="仿宋" w:cs="仿宋"/>
                <w:bCs/>
                <w:color w:val="000000"/>
                <w:kern w:val="0"/>
                <w:sz w:val="24"/>
                <w:szCs w:val="24"/>
                <w:lang w:val="en-US" w:eastAsia="zh-CN"/>
              </w:rPr>
              <w:t>450</w:t>
            </w:r>
            <w:r>
              <w:rPr>
                <w:rFonts w:hint="eastAsia" w:ascii="仿宋" w:hAnsi="仿宋" w:eastAsia="仿宋" w:cs="仿宋"/>
                <w:bCs/>
                <w:color w:val="000000"/>
                <w:kern w:val="0"/>
                <w:sz w:val="24"/>
                <w:szCs w:val="24"/>
                <w:lang w:eastAsia="zh-CN"/>
              </w:rPr>
              <w:t>万元以内</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二、项目要求</w:t>
      </w:r>
    </w:p>
    <w:p>
      <w:pPr>
        <w:keepNext w:val="0"/>
        <w:keepLines w:val="0"/>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color w:val="000000"/>
          <w:spacing w:val="-2"/>
          <w:sz w:val="24"/>
          <w:szCs w:val="24"/>
        </w:rPr>
        <w:t>1、电梯部件配置要求</w:t>
      </w:r>
    </w:p>
    <w:tbl>
      <w:tblPr>
        <w:tblStyle w:val="9"/>
        <w:tblW w:w="9239"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24"/>
        <w:gridCol w:w="7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320" w:lineRule="exact"/>
              <w:ind w:left="0" w:left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序号</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320" w:lineRule="exact"/>
              <w:ind w:left="0" w:leftChars="0"/>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部位</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项具体要求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32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1</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32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品牌要求</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709"/>
              </w:tabs>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国际国内知名品牌</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32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2</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机房部分配置要求</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1）曳引机：采用永磁同步无齿轮曳引机，</w:t>
            </w:r>
            <w:r>
              <w:rPr>
                <w:rFonts w:hint="eastAsia" w:ascii="仿宋" w:hAnsi="仿宋" w:eastAsia="仿宋" w:cs="仿宋"/>
                <w:color w:val="000000"/>
                <w:sz w:val="24"/>
                <w:szCs w:val="24"/>
              </w:rPr>
              <w:t>要求原厂原品牌(并附型号试验报告)</w:t>
            </w:r>
            <w:r>
              <w:rPr>
                <w:rFonts w:hint="eastAsia" w:ascii="仿宋" w:hAnsi="仿宋" w:eastAsia="仿宋" w:cs="仿宋"/>
                <w:color w:val="000000"/>
                <w:spacing w:val="-2"/>
                <w:sz w:val="24"/>
                <w:szCs w:val="24"/>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2）控制柜：</w:t>
            </w:r>
            <w:r>
              <w:rPr>
                <w:rFonts w:hint="default" w:ascii="Times New Roman" w:hAnsi="Times New Roman" w:eastAsia="仿宋" w:cs="Times New Roman"/>
                <w:sz w:val="24"/>
                <w:szCs w:val="24"/>
                <w:u w:val="none"/>
              </w:rPr>
              <w:t>CAN总线</w:t>
            </w:r>
            <w:r>
              <w:rPr>
                <w:rFonts w:hint="default" w:ascii="Times New Roman" w:hAnsi="Times New Roman" w:eastAsia="仿宋" w:cs="Times New Roman"/>
                <w:sz w:val="24"/>
                <w:szCs w:val="24"/>
                <w:u w:val="none"/>
                <w:lang w:eastAsia="zh-CN"/>
              </w:rPr>
              <w:t>、</w:t>
            </w:r>
            <w:r>
              <w:rPr>
                <w:rFonts w:hint="default" w:ascii="Times New Roman" w:hAnsi="Times New Roman" w:eastAsia="仿宋" w:cs="Times New Roman"/>
                <w:sz w:val="24"/>
                <w:szCs w:val="24"/>
                <w:u w:val="none"/>
              </w:rPr>
              <w:t>微机串行通信</w:t>
            </w:r>
            <w:r>
              <w:rPr>
                <w:rFonts w:hint="default" w:ascii="Times New Roman" w:hAnsi="Times New Roman" w:eastAsia="仿宋" w:cs="Times New Roman"/>
                <w:sz w:val="24"/>
                <w:szCs w:val="24"/>
              </w:rPr>
              <w:t>，VVVF变频调压调速，要求原厂原品牌(并附型号试验报告)</w:t>
            </w:r>
            <w:r>
              <w:rPr>
                <w:rFonts w:hint="eastAsia" w:ascii="Times New Roman" w:hAnsi="Times New Roman" w:eastAsia="仿宋" w:cs="Times New Roman"/>
                <w:sz w:val="24"/>
                <w:szCs w:val="24"/>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lang w:eastAsia="zh-CN"/>
              </w:rPr>
            </w:pPr>
            <w:r>
              <w:rPr>
                <w:rFonts w:hint="eastAsia" w:ascii="仿宋" w:hAnsi="仿宋" w:eastAsia="仿宋" w:cs="仿宋"/>
                <w:color w:val="000000"/>
                <w:spacing w:val="-2"/>
                <w:sz w:val="24"/>
                <w:szCs w:val="24"/>
              </w:rPr>
              <w:t>3）</w:t>
            </w:r>
            <w:r>
              <w:rPr>
                <w:rFonts w:hint="eastAsia" w:ascii="仿宋" w:hAnsi="仿宋" w:eastAsia="仿宋" w:cs="仿宋"/>
                <w:color w:val="000000"/>
                <w:sz w:val="24"/>
                <w:szCs w:val="24"/>
              </w:rPr>
              <w:t>门机及控制系统：原厂原品牌变频门机，有明显的品牌标志</w:t>
            </w:r>
            <w:r>
              <w:rPr>
                <w:rFonts w:hint="eastAsia" w:ascii="仿宋" w:hAnsi="仿宋" w:eastAsia="仿宋" w:cs="仿宋"/>
                <w:color w:val="000000"/>
                <w:sz w:val="24"/>
                <w:szCs w:val="24"/>
                <w:lang w:eastAsia="zh-CN"/>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4）</w:t>
            </w:r>
            <w:r>
              <w:rPr>
                <w:rFonts w:hint="eastAsia" w:ascii="仿宋" w:hAnsi="仿宋" w:eastAsia="仿宋" w:cs="仿宋"/>
                <w:color w:val="000000"/>
                <w:sz w:val="24"/>
                <w:szCs w:val="24"/>
              </w:rPr>
              <w:t>安全部件（安全钳和限速器）要求原厂原品牌(并附型号试验报告)。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32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3</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轿箱部分</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1）轿厢</w:t>
            </w:r>
            <w:r>
              <w:rPr>
                <w:rFonts w:hint="eastAsia" w:ascii="仿宋" w:hAnsi="仿宋" w:eastAsia="仿宋" w:cs="仿宋"/>
                <w:color w:val="000000"/>
                <w:spacing w:val="-2"/>
                <w:sz w:val="24"/>
                <w:szCs w:val="24"/>
                <w:lang w:eastAsia="zh-CN"/>
              </w:rPr>
              <w:t>尺寸</w:t>
            </w:r>
            <w:r>
              <w:rPr>
                <w:rFonts w:hint="eastAsia" w:ascii="仿宋" w:hAnsi="仿宋" w:eastAsia="仿宋" w:cs="仿宋"/>
                <w:color w:val="000000"/>
                <w:spacing w:val="-2"/>
                <w:sz w:val="24"/>
                <w:szCs w:val="24"/>
              </w:rPr>
              <w:t>：</w:t>
            </w:r>
            <w:r>
              <w:rPr>
                <w:rFonts w:hint="eastAsia" w:ascii="仿宋" w:hAnsi="仿宋" w:eastAsia="仿宋" w:cs="仿宋"/>
                <w:color w:val="000000"/>
                <w:sz w:val="24"/>
                <w:szCs w:val="24"/>
                <w:lang w:eastAsia="zh-CN"/>
              </w:rPr>
              <w:t>以附件</w:t>
            </w:r>
            <w:r>
              <w:rPr>
                <w:rFonts w:hint="eastAsia" w:ascii="仿宋" w:hAnsi="仿宋" w:eastAsia="仿宋" w:cs="仿宋"/>
                <w:color w:val="000000"/>
                <w:sz w:val="24"/>
                <w:szCs w:val="24"/>
                <w:lang w:val="en-US" w:eastAsia="zh-CN"/>
              </w:rPr>
              <w:t>2《电梯土建设计参数收集表》相关参数为准</w:t>
            </w:r>
            <w:r>
              <w:rPr>
                <w:rFonts w:hint="eastAsia" w:ascii="仿宋" w:hAnsi="仿宋" w:eastAsia="仿宋" w:cs="仿宋"/>
                <w:color w:val="000000"/>
                <w:sz w:val="24"/>
                <w:szCs w:val="24"/>
              </w:rPr>
              <w:t>，速度1.75m/s。</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2）轿壁、轿门表面发纹不锈钢装饰。</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3)吊顶和地板面：要求轿箱装饰大气、明亮，简洁；</w:t>
            </w:r>
            <w:r>
              <w:rPr>
                <w:rFonts w:hint="eastAsia" w:ascii="仿宋" w:hAnsi="仿宋" w:eastAsia="仿宋" w:cs="仿宋"/>
                <w:color w:val="000000"/>
                <w:sz w:val="24"/>
                <w:szCs w:val="24"/>
              </w:rPr>
              <w:t>选配华丽吊顶，LED灯</w:t>
            </w:r>
            <w:r>
              <w:rPr>
                <w:rFonts w:hint="eastAsia" w:ascii="仿宋" w:hAnsi="仿宋" w:eastAsia="仿宋" w:cs="仿宋"/>
                <w:color w:val="000000"/>
                <w:spacing w:val="-2"/>
                <w:sz w:val="24"/>
                <w:szCs w:val="24"/>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4)电梯地坎：要求高强度铝合金地坎。</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5)轿厢内配置操作面板，操控面板整体为发纹不锈钢材质、开关门按钮、楼层按钮、呼叫（报警）按钮等。按钮点亮识别度高。</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6)门机：</w:t>
            </w:r>
            <w:r>
              <w:rPr>
                <w:rFonts w:hint="eastAsia" w:ascii="仿宋" w:hAnsi="仿宋" w:eastAsia="仿宋" w:cs="仿宋"/>
                <w:color w:val="000000"/>
                <w:sz w:val="24"/>
                <w:szCs w:val="24"/>
              </w:rPr>
              <w:t>微机控制永磁同步门机，要求原厂原品牌(并附型号试验报告)</w:t>
            </w:r>
            <w:r>
              <w:rPr>
                <w:rFonts w:hint="eastAsia" w:ascii="仿宋" w:hAnsi="仿宋" w:eastAsia="仿宋" w:cs="仿宋"/>
                <w:color w:val="000000"/>
                <w:spacing w:val="-2"/>
                <w:sz w:val="24"/>
                <w:szCs w:val="24"/>
              </w:rPr>
              <w:t>。</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7)门保护：要求采用多光束光幕保护系统，光束数不少于80。</w:t>
            </w:r>
            <w:r>
              <w:rPr>
                <w:rFonts w:hint="eastAsia" w:ascii="仿宋" w:hAnsi="仿宋" w:eastAsia="仿宋" w:cs="仿宋"/>
                <w:color w:val="000000"/>
                <w:sz w:val="24"/>
                <w:szCs w:val="24"/>
              </w:rPr>
              <w:t>要求采用知名品牌。</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lang w:val="en-US" w:eastAsia="zh-CN"/>
              </w:rPr>
              <w:t>8</w:t>
            </w:r>
            <w:r>
              <w:rPr>
                <w:rFonts w:hint="eastAsia" w:ascii="仿宋" w:hAnsi="仿宋" w:eastAsia="仿宋" w:cs="仿宋"/>
                <w:color w:val="000000"/>
                <w:spacing w:val="-2"/>
                <w:sz w:val="24"/>
                <w:szCs w:val="24"/>
              </w:rPr>
              <w:t>)通风和照明：通风采用轴流静音风扇，照明灯具采用LED灯，</w:t>
            </w:r>
            <w:r>
              <w:rPr>
                <w:rFonts w:hint="eastAsia" w:ascii="仿宋" w:hAnsi="仿宋" w:eastAsia="仿宋" w:cs="仿宋"/>
                <w:color w:val="000000"/>
                <w:sz w:val="24"/>
                <w:szCs w:val="24"/>
              </w:rPr>
              <w:t>带停电应急照明至少保证2个小时。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32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4</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层站部分</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1)外呼采用发纹不锈钢材质，能显示电梯所在层数、运行方向以及满载和故障情况等。</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lang w:eastAsia="zh-CN"/>
              </w:rPr>
            </w:pPr>
            <w:r>
              <w:rPr>
                <w:rFonts w:hint="eastAsia" w:ascii="仿宋" w:hAnsi="仿宋" w:eastAsia="仿宋" w:cs="仿宋"/>
                <w:color w:val="000000"/>
                <w:spacing w:val="-2"/>
                <w:sz w:val="24"/>
                <w:szCs w:val="24"/>
              </w:rPr>
              <w:t>2)</w:t>
            </w:r>
            <w:r>
              <w:rPr>
                <w:rFonts w:hint="eastAsia" w:ascii="仿宋" w:hAnsi="仿宋" w:eastAsia="仿宋" w:cs="仿宋"/>
                <w:color w:val="000000"/>
                <w:spacing w:val="-2"/>
                <w:sz w:val="24"/>
                <w:szCs w:val="24"/>
                <w:lang w:eastAsia="zh-CN"/>
              </w:rPr>
              <w:t>厅门：首层发纹不锈钢，其它楼层喷塑钢板；小门套：首层发纹不锈钢，其它楼层喷塑钢板。</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3)基站层配置有消防员紧急操作按钮。</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4）中分自动门，红外线光幕保护，开关门力矩保护。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tabs>
                <w:tab w:val="left" w:pos="-720"/>
                <w:tab w:val="left" w:pos="720"/>
                <w:tab w:val="left" w:pos="1018"/>
                <w:tab w:val="left" w:pos="1336"/>
                <w:tab w:val="left" w:pos="1654"/>
                <w:tab w:val="left" w:pos="1972"/>
                <w:tab w:val="left" w:pos="2290"/>
                <w:tab w:val="left" w:pos="2608"/>
                <w:tab w:val="left" w:pos="2926"/>
                <w:tab w:val="left" w:pos="3244"/>
                <w:tab w:val="left" w:pos="3562"/>
              </w:tabs>
              <w:suppressAutoHyphens/>
              <w:kinsoku/>
              <w:wordWrap/>
              <w:overflowPunct/>
              <w:topLinePunct w:val="0"/>
              <w:autoSpaceDE/>
              <w:autoSpaceDN/>
              <w:bidi w:val="0"/>
              <w:adjustRightInd/>
              <w:snapToGrid/>
              <w:spacing w:after="0" w:line="320" w:lineRule="exact"/>
              <w:ind w:left="0" w:leftChars="0"/>
              <w:jc w:val="center"/>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5</w:t>
            </w:r>
          </w:p>
        </w:tc>
        <w:tc>
          <w:tcPr>
            <w:tcW w:w="13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pacing w:val="-2"/>
                <w:sz w:val="24"/>
                <w:szCs w:val="24"/>
              </w:rPr>
              <w:t>井道部分</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1)导轨、支架等部件要求具备防锈，耐腐蚀和不易变形的特点。</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pacing w:val="-2"/>
                <w:sz w:val="24"/>
                <w:szCs w:val="24"/>
              </w:rPr>
            </w:pPr>
            <w:r>
              <w:rPr>
                <w:rFonts w:hint="eastAsia" w:ascii="仿宋" w:hAnsi="仿宋" w:eastAsia="仿宋" w:cs="仿宋"/>
                <w:color w:val="000000"/>
                <w:spacing w:val="-2"/>
                <w:sz w:val="24"/>
                <w:szCs w:val="24"/>
              </w:rPr>
              <w:t>2）钢丝绳：知名品牌的电梯专用钢丝绳。</w:t>
            </w:r>
          </w:p>
        </w:tc>
      </w:tr>
    </w:tbl>
    <w:p>
      <w:pPr>
        <w:pStyle w:val="2"/>
      </w:pPr>
    </w:p>
    <w:p>
      <w:pPr>
        <w:tabs>
          <w:tab w:val="left" w:pos="709"/>
        </w:tabs>
        <w:spacing w:line="400" w:lineRule="exact"/>
        <w:rPr>
          <w:rFonts w:hint="eastAsia" w:ascii="仿宋" w:hAnsi="仿宋" w:eastAsia="仿宋" w:cs="仿宋"/>
          <w:b/>
          <w:bCs/>
          <w:color w:val="000000"/>
          <w:spacing w:val="-2"/>
          <w:sz w:val="24"/>
          <w:szCs w:val="24"/>
        </w:rPr>
      </w:pPr>
      <w:r>
        <w:rPr>
          <w:rFonts w:hint="eastAsia" w:ascii="仿宋" w:hAnsi="仿宋" w:eastAsia="仿宋" w:cs="仿宋"/>
          <w:b/>
          <w:bCs/>
          <w:color w:val="000000"/>
          <w:spacing w:val="-2"/>
          <w:sz w:val="24"/>
          <w:szCs w:val="24"/>
        </w:rPr>
        <w:t>2、电梯功能配置要求（不限于下述功能）</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555"/>
        <w:gridCol w:w="465"/>
        <w:gridCol w:w="4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18" w:type="dxa"/>
            <w:gridSpan w:val="4"/>
            <w:tcBorders>
              <w:top w:val="single" w:color="auto" w:sz="4" w:space="0"/>
              <w:left w:val="single" w:color="auto" w:sz="4" w:space="0"/>
              <w:bottom w:val="single" w:color="auto" w:sz="4" w:space="0"/>
              <w:right w:val="single" w:color="auto" w:sz="4" w:space="0"/>
            </w:tcBorders>
            <w:noWrap w:val="0"/>
            <w:vAlign w:val="center"/>
          </w:tcPr>
          <w:p>
            <w:pPr>
              <w:spacing w:line="340" w:lineRule="exact"/>
              <w:ind w:left="-10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基本功能要求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sz w:val="24"/>
                <w:szCs w:val="24"/>
              </w:rPr>
            </w:pPr>
            <w:r>
              <w:rPr>
                <w:rFonts w:hint="eastAsia" w:ascii="仿宋" w:hAnsi="仿宋" w:eastAsia="仿宋" w:cs="仿宋"/>
                <w:color w:val="000000"/>
                <w:kern w:val="0"/>
                <w:sz w:val="24"/>
                <w:szCs w:val="24"/>
              </w:rPr>
              <w:t>对讲机通讯功能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开门时间自动控制功能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电动机空转保护功能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23</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位置异常自动校正功能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全集选控制运行功能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24</w:t>
            </w:r>
          </w:p>
        </w:tc>
        <w:tc>
          <w:tcPr>
            <w:tcW w:w="4259"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266" w:lineRule="exact"/>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底坑对讲机通讯功能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开门异常自动选层功能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25</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超载报警功能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开关门时间异常保护功能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26</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抗电磁干扰功能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满载直驶运行功能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27</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厅外检修显示功能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开门时间自动调整功能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28</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故障低速自救运行功能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机房调试操作功能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29</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门过载保护功能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停电应急照明功能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30</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轿顶检修操作功能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故障自动存储功能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31</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故障自动检测功能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层高自测定功能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起动补偿功能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3555"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抱闸动作的双安全检测功能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33</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警铃报警功能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无呼自返基站功能：1层</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34</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反向内指令自动消除功能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运行次数显示功能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35</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停车在非门区报警功能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泊梯功能：1层</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36</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超载保护功能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超速机械保护功能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37</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消防迫降功能：1层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轿内照明自动控制功能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38</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超速电气保护功能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门停止运行功能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39</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电动机过载保护功能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待机定期自检功能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40</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轿内通风自动控制功能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光幕保护功能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41</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同步电机磁极码静态测试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39"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3555"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轿内慢速运行功能</w:t>
            </w:r>
          </w:p>
        </w:tc>
        <w:tc>
          <w:tcPr>
            <w:tcW w:w="465"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42</w:t>
            </w:r>
          </w:p>
        </w:tc>
        <w:tc>
          <w:tcPr>
            <w:tcW w:w="425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电梯服务支援系统</w:t>
            </w:r>
          </w:p>
        </w:tc>
      </w:tr>
    </w:tbl>
    <w:p>
      <w:pPr>
        <w:pStyle w:val="5"/>
        <w:spacing w:line="340" w:lineRule="exact"/>
        <w:rPr>
          <w:rFonts w:hint="eastAsia" w:ascii="仿宋" w:hAnsi="仿宋" w:eastAsia="仿宋" w:cs="仿宋"/>
          <w:b/>
          <w:bCs/>
          <w:color w:val="000000"/>
          <w:spacing w:val="-2"/>
          <w:kern w:val="2"/>
          <w:sz w:val="24"/>
          <w:szCs w:val="24"/>
          <w:lang w:val="en-US" w:eastAsia="zh-CN" w:bidi="ar-SA"/>
        </w:rPr>
      </w:pPr>
      <w:r>
        <w:rPr>
          <w:rFonts w:hint="eastAsia" w:ascii="仿宋" w:hAnsi="仿宋" w:eastAsia="仿宋" w:cs="仿宋"/>
          <w:b/>
          <w:bCs/>
          <w:color w:val="000000"/>
          <w:spacing w:val="-2"/>
          <w:kern w:val="2"/>
          <w:sz w:val="24"/>
          <w:szCs w:val="24"/>
          <w:lang w:val="en-US" w:eastAsia="zh-CN" w:bidi="ar-SA"/>
        </w:rPr>
        <w:t>3、特别说明：</w:t>
      </w:r>
    </w:p>
    <w:tbl>
      <w:tblPr>
        <w:tblStyle w:val="9"/>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trPr>
        <w:tc>
          <w:tcPr>
            <w:tcW w:w="913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1</w:t>
            </w:r>
            <w:r>
              <w:rPr>
                <w:rFonts w:hint="default" w:ascii="Times New Roman" w:hAnsi="Times New Roman" w:eastAsia="仿宋" w:cs="Times New Roman"/>
                <w:color w:val="000000"/>
                <w:kern w:val="0"/>
                <w:sz w:val="24"/>
                <w:szCs w:val="24"/>
              </w:rPr>
              <w:t>、电源：380V/50HZ/三相；220V/50HZ/单相（±10%）；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2</w:t>
            </w:r>
            <w:r>
              <w:rPr>
                <w:rFonts w:hint="default" w:ascii="Times New Roman" w:hAnsi="Times New Roman" w:eastAsia="仿宋" w:cs="Times New Roman"/>
                <w:color w:val="000000"/>
                <w:kern w:val="0"/>
                <w:sz w:val="24"/>
                <w:szCs w:val="24"/>
              </w:rPr>
              <w:t>、拖动系统：交流变频变压调速控制。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kern w:val="0"/>
                <w:sz w:val="24"/>
                <w:szCs w:val="24"/>
              </w:rPr>
            </w:pPr>
            <w:r>
              <w:rPr>
                <w:rFonts w:hint="default" w:ascii="Times New Roman" w:hAnsi="Times New Roman" w:eastAsia="仿宋" w:cs="Times New Roman"/>
                <w:color w:val="000000"/>
                <w:kern w:val="0"/>
                <w:sz w:val="24"/>
                <w:szCs w:val="24"/>
                <w:lang w:val="en-US" w:eastAsia="zh-CN"/>
              </w:rPr>
              <w:t>3</w:t>
            </w:r>
            <w:r>
              <w:rPr>
                <w:rFonts w:hint="default" w:ascii="Times New Roman" w:hAnsi="Times New Roman" w:eastAsia="仿宋" w:cs="Times New Roman"/>
                <w:color w:val="000000"/>
                <w:kern w:val="0"/>
                <w:sz w:val="24"/>
                <w:szCs w:val="24"/>
              </w:rPr>
              <w:t>、开门方式：均为自动中分门。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000000"/>
                <w:kern w:val="0"/>
                <w:sz w:val="24"/>
                <w:szCs w:val="24"/>
                <w:lang w:val="en-US" w:eastAsia="zh-CN"/>
              </w:rPr>
            </w:pPr>
            <w:r>
              <w:rPr>
                <w:rFonts w:hint="default" w:ascii="Times New Roman" w:hAnsi="Times New Roman" w:eastAsia="仿宋" w:cs="Times New Roman"/>
                <w:color w:val="000000"/>
                <w:kern w:val="0"/>
                <w:sz w:val="24"/>
                <w:szCs w:val="24"/>
                <w:lang w:val="en-US" w:eastAsia="zh-CN"/>
              </w:rPr>
              <w:t>4</w:t>
            </w:r>
            <w:r>
              <w:rPr>
                <w:rFonts w:hint="default" w:ascii="Times New Roman" w:hAnsi="Times New Roman" w:eastAsia="仿宋" w:cs="Times New Roman"/>
                <w:color w:val="000000"/>
                <w:kern w:val="0"/>
                <w:sz w:val="24"/>
                <w:szCs w:val="24"/>
              </w:rPr>
              <w:t>、制造、安装标准和规范：GB50763-2012等现行规范</w:t>
            </w:r>
            <w:r>
              <w:rPr>
                <w:rFonts w:hint="default" w:ascii="Times New Roman" w:hAnsi="Times New Roman" w:eastAsia="仿宋" w:cs="Times New Roman"/>
                <w:color w:val="000000"/>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color w:val="000000"/>
                <w:szCs w:val="21"/>
                <w:lang w:eastAsia="zh-CN"/>
              </w:rPr>
            </w:pPr>
            <w:r>
              <w:rPr>
                <w:rFonts w:hint="default" w:ascii="Times New Roman" w:hAnsi="Times New Roman" w:eastAsia="仿宋" w:cs="Times New Roman"/>
                <w:strike w:val="0"/>
                <w:dstrike w:val="0"/>
                <w:color w:val="000000"/>
                <w:kern w:val="0"/>
                <w:sz w:val="24"/>
                <w:szCs w:val="24"/>
                <w:lang w:val="en-US" w:eastAsia="zh-CN"/>
              </w:rPr>
              <w:t>5</w:t>
            </w:r>
            <w:r>
              <w:rPr>
                <w:rFonts w:hint="default" w:ascii="Times New Roman" w:hAnsi="Times New Roman" w:eastAsia="仿宋" w:cs="Times New Roman"/>
                <w:strike w:val="0"/>
                <w:dstrike w:val="0"/>
                <w:color w:val="000000"/>
                <w:kern w:val="0"/>
                <w:sz w:val="24"/>
                <w:szCs w:val="24"/>
              </w:rPr>
              <w:t>、电梯底坑、井道、门洞及机房尺寸</w:t>
            </w:r>
            <w:r>
              <w:rPr>
                <w:rFonts w:hint="default" w:ascii="Times New Roman" w:hAnsi="Times New Roman" w:eastAsia="仿宋" w:cs="Times New Roman"/>
                <w:strike w:val="0"/>
                <w:dstrike w:val="0"/>
                <w:color w:val="000000"/>
                <w:kern w:val="0"/>
                <w:sz w:val="24"/>
                <w:szCs w:val="24"/>
                <w:lang w:val="en-US" w:eastAsia="zh-CN"/>
              </w:rPr>
              <w:t>，</w:t>
            </w:r>
            <w:r>
              <w:rPr>
                <w:rFonts w:hint="default" w:ascii="Times New Roman" w:hAnsi="Times New Roman" w:eastAsia="仿宋" w:cs="Times New Roman"/>
                <w:strike w:val="0"/>
                <w:dstrike w:val="0"/>
                <w:color w:val="000000"/>
                <w:kern w:val="0"/>
                <w:sz w:val="24"/>
                <w:szCs w:val="24"/>
              </w:rPr>
              <w:t>其余有关井道预埋件、机房留洞等详</w:t>
            </w:r>
            <w:r>
              <w:rPr>
                <w:rFonts w:hint="eastAsia" w:ascii="Times New Roman" w:hAnsi="Times New Roman" w:eastAsia="仿宋" w:cs="Times New Roman"/>
                <w:strike w:val="0"/>
                <w:dstrike w:val="0"/>
                <w:color w:val="000000"/>
                <w:kern w:val="0"/>
                <w:sz w:val="24"/>
                <w:szCs w:val="24"/>
                <w:lang w:val="en-US" w:eastAsia="zh-CN"/>
              </w:rPr>
              <w:t>见《湖南科技学院棚改房电梯土建设计参数收集表》</w:t>
            </w:r>
            <w:r>
              <w:rPr>
                <w:rFonts w:hint="default" w:ascii="Times New Roman" w:hAnsi="Times New Roman" w:eastAsia="仿宋" w:cs="Times New Roman"/>
                <w:color w:val="000000"/>
                <w:kern w:val="0"/>
                <w:sz w:val="24"/>
                <w:szCs w:val="24"/>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三、技术要求</w:t>
      </w:r>
    </w:p>
    <w:p>
      <w:pPr>
        <w:keepNext w:val="0"/>
        <w:keepLines w:val="0"/>
        <w:pageBreakBefore w:val="0"/>
        <w:widowControl w:val="0"/>
        <w:kinsoku/>
        <w:wordWrap/>
        <w:overflowPunct/>
        <w:bidi w:val="0"/>
        <w:adjustRightInd/>
        <w:snapToGrid/>
        <w:spacing w:line="400" w:lineRule="exact"/>
        <w:ind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1、各种基本及安全功能齐全。按各电梯的标准配置，供应商应在</w:t>
      </w:r>
      <w:r>
        <w:rPr>
          <w:rFonts w:hint="eastAsia" w:ascii="仿宋" w:hAnsi="仿宋" w:eastAsia="仿宋" w:cs="仿宋"/>
          <w:color w:val="000000"/>
          <w:kern w:val="0"/>
          <w:sz w:val="24"/>
          <w:szCs w:val="24"/>
          <w:lang w:eastAsia="zh-CN"/>
        </w:rPr>
        <w:t>项目方案</w:t>
      </w:r>
      <w:r>
        <w:rPr>
          <w:rFonts w:hint="eastAsia" w:ascii="仿宋" w:hAnsi="仿宋" w:eastAsia="仿宋" w:cs="仿宋"/>
          <w:color w:val="000000"/>
          <w:kern w:val="0"/>
          <w:sz w:val="24"/>
          <w:szCs w:val="24"/>
        </w:rPr>
        <w:t>中提供具体列表，如某品牌产品标准配置、安全功能与本品牌其它档次产品或与其他品牌产品有明显不同，请予以特别说明。如未能提供具体列表，也不予以说明的，视同基本功能不齐全。</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2、供货范围：以上所列的技术参数为货物的最基本要求，仅供</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的参考，并无指定。</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可根据设备的实际情况，选用档次相同、技术参数优于或等于的产品进行报价，并列明详细的参数、品牌、型号及产地等。</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所投设备须为全新未使用设备。设备及其辅助装置的铭牌、使用指示、警告指示应以中文或易懂符号来表示，应能准确无误地表示设备的型号、规格、制造商；所需配件应为原装配件。</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、其它装置、记号系统、设备等均由各厂家根据产品配置，并在</w:t>
      </w:r>
      <w:r>
        <w:rPr>
          <w:rFonts w:hint="eastAsia" w:ascii="仿宋" w:hAnsi="仿宋" w:eastAsia="仿宋" w:cs="仿宋"/>
          <w:color w:val="000000"/>
          <w:kern w:val="0"/>
          <w:sz w:val="24"/>
          <w:szCs w:val="24"/>
          <w:lang w:eastAsia="zh-CN"/>
        </w:rPr>
        <w:t>项目方案</w:t>
      </w:r>
      <w:r>
        <w:rPr>
          <w:rFonts w:hint="eastAsia" w:ascii="仿宋" w:hAnsi="仿宋" w:eastAsia="仿宋" w:cs="仿宋"/>
          <w:color w:val="000000"/>
          <w:kern w:val="0"/>
          <w:sz w:val="24"/>
          <w:szCs w:val="24"/>
        </w:rPr>
        <w:t>内注明（进口部件必须有海关报单）。</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必须保证</w:t>
      </w:r>
      <w:r>
        <w:rPr>
          <w:rFonts w:hint="eastAsia" w:ascii="仿宋" w:hAnsi="仿宋" w:eastAsia="仿宋" w:cs="仿宋"/>
          <w:color w:val="000000"/>
          <w:kern w:val="0"/>
          <w:sz w:val="24"/>
          <w:szCs w:val="24"/>
          <w:lang w:eastAsia="zh-CN"/>
        </w:rPr>
        <w:t>项目方案</w:t>
      </w:r>
      <w:r>
        <w:rPr>
          <w:rFonts w:hint="eastAsia" w:ascii="仿宋" w:hAnsi="仿宋" w:eastAsia="仿宋" w:cs="仿宋"/>
          <w:color w:val="000000"/>
          <w:kern w:val="0"/>
          <w:sz w:val="24"/>
          <w:szCs w:val="24"/>
        </w:rPr>
        <w:t>中各种技术参数的真实可靠，并且提供所投型号设备的样本资料、完整技术说明及相关有效检验报告。</w:t>
      </w:r>
    </w:p>
    <w:p>
      <w:pPr>
        <w:keepNext w:val="0"/>
        <w:keepLines w:val="0"/>
        <w:pageBreakBefore w:val="0"/>
        <w:widowControl w:val="0"/>
        <w:kinsoku/>
        <w:wordWrap/>
        <w:overflowPunct/>
        <w:bidi w:val="0"/>
        <w:adjustRightInd/>
        <w:snapToGrid/>
        <w:spacing w:line="400" w:lineRule="exact"/>
        <w:ind w:left="0" w:leftChars="0" w:right="0" w:rightChars="0" w:firstLine="240" w:firstLineChars="100"/>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xml:space="preserve">  </w:t>
      </w:r>
      <w:r>
        <w:rPr>
          <w:rFonts w:hint="eastAsia" w:ascii="仿宋" w:hAnsi="仿宋" w:eastAsia="仿宋" w:cs="仿宋"/>
          <w:color w:val="000000"/>
          <w:kern w:val="0"/>
          <w:sz w:val="24"/>
          <w:szCs w:val="24"/>
          <w:lang w:val="en-US" w:eastAsia="zh-CN"/>
        </w:rPr>
        <w:t>5</w:t>
      </w:r>
      <w:r>
        <w:rPr>
          <w:rFonts w:hint="eastAsia" w:ascii="仿宋" w:hAnsi="仿宋" w:eastAsia="仿宋" w:cs="仿宋"/>
          <w:color w:val="000000"/>
          <w:kern w:val="0"/>
          <w:sz w:val="24"/>
          <w:szCs w:val="24"/>
        </w:rPr>
        <w:t>、技术性能及结构要求：</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所提供的设备必须严格按现行设计、制造的各项标准及技术规范要求进行选材、制造</w:t>
      </w:r>
      <w:r>
        <w:rPr>
          <w:rFonts w:hint="eastAsia" w:ascii="仿宋" w:hAnsi="仿宋" w:eastAsia="仿宋" w:cs="仿宋"/>
          <w:color w:val="000000"/>
          <w:kern w:val="0"/>
          <w:sz w:val="24"/>
          <w:szCs w:val="24"/>
          <w:lang w:eastAsia="zh-CN"/>
        </w:rPr>
        <w:t>。</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提供的设备必须具有国内同行业中近年内先进制造水平，采用新工艺、新材料、新技术。</w:t>
      </w:r>
    </w:p>
    <w:p>
      <w:pPr>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0"/>
          <w:sz w:val="24"/>
          <w:szCs w:val="24"/>
        </w:rPr>
        <w:t>必须提供本项目电梯安装工程的施工、组织及管理计划，提供派驻该项目的项目经理及联系电话。</w:t>
      </w:r>
      <w:bookmarkStart w:id="2" w:name="_Toc521687499"/>
    </w:p>
    <w:p>
      <w:pPr>
        <w:pStyle w:val="12"/>
        <w:keepNext w:val="0"/>
        <w:keepLines w:val="0"/>
        <w:pageBreakBefore w:val="0"/>
        <w:widowControl w:val="0"/>
        <w:kinsoku/>
        <w:wordWrap/>
        <w:overflowPunct/>
        <w:bidi w:val="0"/>
        <w:adjustRightInd/>
        <w:snapToGrid/>
        <w:spacing w:line="400" w:lineRule="exact"/>
        <w:ind w:right="0" w:right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四、安全技术规范、标准及相关规定</w:t>
      </w:r>
      <w:bookmarkEnd w:id="2"/>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所提供的设备应不低于中国国家、地方现行标准（如GB7588-2003、GB/Tl0058-2009、GB／T10059</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2009. GB10060-20ll、GB50310-2002等）、特种设备技术规范及有关法律、法规、条例的要求，不低于生产厂提供的出厂、安装、验收标准，不低于本招标文件中的相关要求。标准、法规及招标文件中的相关要求存有矛盾之处，均以高等级的标准要求为准。如果中国国家、地方颁布了最新的标准和有关法律、法规、条例，则按照最新版本执行。</w:t>
      </w:r>
    </w:p>
    <w:p>
      <w:pPr>
        <w:pStyle w:val="13"/>
        <w:keepNext w:val="0"/>
        <w:keepLines w:val="0"/>
        <w:pageBreakBefore w:val="0"/>
        <w:widowControl w:val="0"/>
        <w:kinsoku/>
        <w:wordWrap/>
        <w:overflowPunct/>
        <w:topLinePunct/>
        <w:autoSpaceDE w:val="0"/>
        <w:autoSpaceDN w:val="0"/>
        <w:bidi w:val="0"/>
        <w:adjustRightInd/>
        <w:snapToGrid/>
        <w:spacing w:line="400" w:lineRule="exact"/>
        <w:ind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提供的所有产品和服务须符合下列规范、条例及标准（或修订后，</w:t>
      </w:r>
    </w:p>
    <w:p>
      <w:pPr>
        <w:pStyle w:val="13"/>
        <w:keepNext w:val="0"/>
        <w:keepLines w:val="0"/>
        <w:pageBreakBefore w:val="0"/>
        <w:widowControl w:val="0"/>
        <w:kinsoku/>
        <w:wordWrap/>
        <w:overflowPunct/>
        <w:topLinePunct/>
        <w:autoSpaceDE w:val="0"/>
        <w:autoSpaceDN w:val="0"/>
        <w:bidi w:val="0"/>
        <w:adjustRightInd/>
        <w:snapToGrid/>
        <w:spacing w:line="400" w:lineRule="exact"/>
        <w:ind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最新版本的要求）：</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GB7588-2003《电梯制造与安装安全规范》：</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TSG T7001-2009《电梯监督检验和定期检验规则-曳引与强制驱动电梯》；</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10058-2009《电梯技术条件》；</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I0059-2009《电梯实验方法》；</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10060-2011《电梯安装验收规范》；</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7024-2008《电梯、自动扶梯、自动人行道术语》；</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GB50310-2002《电梯工程施工质量验收规范》；</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7025.1-2008《电梯主参数及轿厢、井道、机房的型式与尺寸第1部分：Ⅰ、Ⅱ、Ⅲ、Ⅳ类电梯》;</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7025.2-2008《电梯主参数及轿厢、井道、机房的型式与尺寸第2部分：Ⅳ类电梯》;</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18775-2009《电梯维修规范》;</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 20900-2007《电梯、自动扶梯和自动人行道风险评价和降低的方法》;</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GB/T22562-2008《电梯T型导轨》;</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GB/T24474-2009《电梯乘运质量测量》;</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GB/T24475-2009《电梯远程报警系统》;</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GB/T24476_2009《电梯、自动扶梯和自动人行道数据监视和记录规范》;</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GB/T24477_2009《适用于残障人员的电梯附加要求》;</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 T24478-2009《电梯曳引机》;</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 24479-2009《火灾情况下的电梯特性》;</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GB/T24480_2009《电梯层门耐火试验泄漏量．隔热．辐射测定法》;</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 24803.1-2009《电梯安全要求第1部分：电梯基本安全要求》;</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 24804-2009《提高在用电梯安全性的规范》;</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GB／T24807-2009《电磁兼容电梯、自动扶梯和自动人行道的产品系列标准发射》：</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GB／T24808-2009《电磁兼容电梯、自动扶梯和自动人行道的产品系列标准抗扰度》：</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72" w:firstLineChars="197"/>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GB50300-2001《建设工程质量验收统一标准》;</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xml:space="preserve"> GB26465-2011《消防电梯制造与安装安全规范》；</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国务院令549号《特种设备安全监察条例》；</w:t>
      </w:r>
    </w:p>
    <w:p>
      <w:pPr>
        <w:pStyle w:val="13"/>
        <w:keepNext w:val="0"/>
        <w:keepLines w:val="0"/>
        <w:pageBreakBefore w:val="0"/>
        <w:widowControl w:val="0"/>
        <w:kinsoku/>
        <w:wordWrap/>
        <w:overflowPunct/>
        <w:topLinePunct/>
        <w:autoSpaceDE w:val="0"/>
        <w:autoSpaceDN w:val="0"/>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JGJ46-2005《施工现场临时用电安全技术规范》；</w:t>
      </w:r>
    </w:p>
    <w:p>
      <w:pPr>
        <w:pStyle w:val="13"/>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000000"/>
          <w:sz w:val="24"/>
          <w:szCs w:val="24"/>
        </w:rPr>
        <w:t>由买方认可的其它国家的其它权威标准。</w:t>
      </w:r>
      <w:bookmarkStart w:id="3" w:name="_Toc521687500"/>
    </w:p>
    <w:p>
      <w:pPr>
        <w:pStyle w:val="12"/>
        <w:keepNext w:val="0"/>
        <w:keepLines w:val="0"/>
        <w:pageBreakBefore w:val="0"/>
        <w:widowControl w:val="0"/>
        <w:kinsoku/>
        <w:wordWrap/>
        <w:overflowPunct/>
        <w:bidi w:val="0"/>
        <w:adjustRightInd/>
        <w:snapToGrid/>
        <w:spacing w:line="400" w:lineRule="exact"/>
        <w:ind w:left="0" w:leftChars="0" w:right="0" w:rightChars="0" w:firstLine="562" w:firstLineChars="20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五、安装调试及技术服务（含培训）要求</w:t>
      </w:r>
      <w:bookmarkEnd w:id="3"/>
    </w:p>
    <w:p>
      <w:pPr>
        <w:pStyle w:val="13"/>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1、标准：符合《电梯制造与安装安全规范》（GB7588—2003），《电梯安装验收规范》（GB10060），《电梯工程施工质量验收规范》（GB50310）和电力、消防、质检、安监部门的有关规定等。</w:t>
      </w:r>
    </w:p>
    <w:p>
      <w:pPr>
        <w:pStyle w:val="13"/>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2、供应商必须承诺按时提供以上货物并完成安装调试，同时，承担相应的费用。若安装调试过程对原建筑或原成品产生破坏，该供应商要负责修补复原。</w:t>
      </w:r>
    </w:p>
    <w:p>
      <w:pPr>
        <w:pStyle w:val="13"/>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3、供应商必须严格按照有关规范安装调试，安装调试期间出现的各种事故造成的损失及人员伤亡均由供应商负责。</w:t>
      </w:r>
    </w:p>
    <w:p>
      <w:pPr>
        <w:pStyle w:val="13"/>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4、供应商必须严格按采购人指定的位置安装施工，未经采购人同意不得更改安装施工位置。</w:t>
      </w:r>
    </w:p>
    <w:p>
      <w:pPr>
        <w:pStyle w:val="13"/>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5、供应商如有违反操作规程及粗制滥造现象，采购人有权加以制止，直至下令停工，其经济损失全部由供应商负责，合同期不得顺延。</w:t>
      </w:r>
    </w:p>
    <w:p>
      <w:pPr>
        <w:keepNext w:val="0"/>
        <w:keepLines w:val="0"/>
        <w:pageBreakBefore w:val="0"/>
        <w:widowControl w:val="0"/>
        <w:kinsoku/>
        <w:wordWrap/>
        <w:overflowPunct/>
        <w:bidi w:val="0"/>
        <w:adjustRightInd/>
        <w:snapToGrid/>
        <w:spacing w:line="400" w:lineRule="exact"/>
        <w:ind w:left="0" w:leftChars="0" w:right="0" w:rightChars="0" w:firstLine="420"/>
        <w:jc w:val="left"/>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color w:val="000000"/>
          <w:sz w:val="24"/>
          <w:szCs w:val="24"/>
        </w:rPr>
        <w:t>6、人员培训要求：为该项目培训至少两名甲方人员（受训人员须持有电梯操作证）。</w:t>
      </w:r>
      <w:bookmarkStart w:id="4" w:name="_Toc521687501"/>
    </w:p>
    <w:p>
      <w:pPr>
        <w:pStyle w:val="12"/>
        <w:keepNext w:val="0"/>
        <w:keepLines w:val="0"/>
        <w:pageBreakBefore w:val="0"/>
        <w:widowControl w:val="0"/>
        <w:kinsoku/>
        <w:wordWrap/>
        <w:overflowPunct/>
        <w:bidi w:val="0"/>
        <w:adjustRightInd/>
        <w:snapToGrid/>
        <w:spacing w:line="400" w:lineRule="exact"/>
        <w:ind w:right="0" w:right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六、服务要求</w:t>
      </w:r>
      <w:bookmarkEnd w:id="4"/>
    </w:p>
    <w:p>
      <w:pPr>
        <w:pStyle w:val="13"/>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1、质保期：产品免费质保期为技术监督局验收合格之日起的</w:t>
      </w:r>
      <w:r>
        <w:rPr>
          <w:rFonts w:hint="eastAsia" w:ascii="仿宋" w:hAnsi="仿宋" w:eastAsia="仿宋" w:cs="仿宋"/>
          <w:color w:val="000000"/>
          <w:sz w:val="24"/>
          <w:szCs w:val="24"/>
          <w:lang w:val="en-US" w:eastAsia="zh-CN"/>
        </w:rPr>
        <w:t>24</w:t>
      </w:r>
      <w:r>
        <w:rPr>
          <w:rFonts w:hint="eastAsia" w:ascii="仿宋" w:hAnsi="仿宋" w:eastAsia="仿宋" w:cs="仿宋"/>
          <w:color w:val="000000"/>
          <w:sz w:val="24"/>
          <w:szCs w:val="24"/>
        </w:rPr>
        <w:t>个月。</w:t>
      </w:r>
    </w:p>
    <w:p>
      <w:pPr>
        <w:pStyle w:val="13"/>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提供的产品及服务须适应</w:t>
      </w:r>
      <w:r>
        <w:rPr>
          <w:rFonts w:hint="eastAsia" w:ascii="仿宋" w:hAnsi="仿宋" w:eastAsia="仿宋" w:cs="仿宋"/>
          <w:color w:val="000000"/>
          <w:sz w:val="24"/>
          <w:szCs w:val="24"/>
          <w:lang w:eastAsia="zh-CN"/>
        </w:rPr>
        <w:t>采购需求</w:t>
      </w:r>
      <w:r>
        <w:rPr>
          <w:rFonts w:hint="eastAsia" w:ascii="仿宋" w:hAnsi="仿宋" w:eastAsia="仿宋" w:cs="仿宋"/>
          <w:color w:val="000000"/>
          <w:sz w:val="24"/>
          <w:szCs w:val="24"/>
        </w:rPr>
        <w:t>中所有条款，并运转顺利、正常、可靠。要求连续工作每天24小时，全年365天。</w:t>
      </w:r>
    </w:p>
    <w:p>
      <w:pPr>
        <w:pStyle w:val="13"/>
        <w:keepNext w:val="0"/>
        <w:keepLines w:val="0"/>
        <w:pageBreakBefore w:val="0"/>
        <w:widowControl w:val="0"/>
        <w:kinsoku/>
        <w:wordWrap/>
        <w:overflowPunct/>
        <w:bidi w:val="0"/>
        <w:adjustRightInd/>
        <w:snapToGrid/>
        <w:spacing w:line="400" w:lineRule="exact"/>
        <w:ind w:left="0" w:leftChars="0" w:right="0" w:righ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3、安装和维修保养方案：提供安装和维修保养安全认可证及业绩资料，针对本工程的详细实施方案。</w:t>
      </w:r>
    </w:p>
    <w:p>
      <w:pPr>
        <w:pStyle w:val="13"/>
        <w:keepNext w:val="0"/>
        <w:keepLines w:val="0"/>
        <w:pageBreakBefore w:val="0"/>
        <w:widowControl w:val="0"/>
        <w:kinsoku/>
        <w:wordWrap/>
        <w:overflowPunct/>
        <w:bidi w:val="0"/>
        <w:adjustRightInd/>
        <w:snapToGrid/>
        <w:spacing w:line="400" w:lineRule="exact"/>
        <w:ind w:left="0" w:leftChars="0" w:right="0" w:rightChars="0" w:firstLine="240" w:firstLineChars="1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4、保修期内的服务：接故障通知后30分钟内赶到，一般故障2小时解决，重大故障48小时解决等，</w:t>
      </w:r>
      <w:r>
        <w:rPr>
          <w:rFonts w:hint="eastAsia" w:ascii="仿宋" w:hAnsi="仿宋" w:eastAsia="仿宋" w:cs="仿宋"/>
          <w:color w:val="000000"/>
          <w:sz w:val="24"/>
          <w:szCs w:val="24"/>
          <w:lang w:eastAsia="zh-CN"/>
        </w:rPr>
        <w:t>项目方案</w:t>
      </w:r>
      <w:r>
        <w:rPr>
          <w:rFonts w:hint="eastAsia" w:ascii="仿宋" w:hAnsi="仿宋" w:eastAsia="仿宋" w:cs="仿宋"/>
          <w:color w:val="000000"/>
          <w:sz w:val="24"/>
          <w:szCs w:val="24"/>
        </w:rPr>
        <w:t>中应提供保养的详细计划方案和备品备件和必备耗材的清单。</w:t>
      </w:r>
    </w:p>
    <w:p>
      <w:pPr>
        <w:keepNext w:val="0"/>
        <w:keepLines w:val="0"/>
        <w:pageBreakBefore w:val="0"/>
        <w:widowControl w:val="0"/>
        <w:kinsoku/>
        <w:wordWrap/>
        <w:overflowPunct/>
        <w:bidi w:val="0"/>
        <w:adjustRightInd/>
        <w:snapToGrid/>
        <w:spacing w:line="400" w:lineRule="exact"/>
        <w:ind w:left="0" w:leftChars="0" w:right="0" w:rightChars="0" w:firstLine="42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sz w:val="24"/>
          <w:szCs w:val="24"/>
        </w:rPr>
        <w:t>应在</w:t>
      </w:r>
      <w:r>
        <w:rPr>
          <w:rFonts w:hint="eastAsia" w:ascii="仿宋" w:hAnsi="仿宋" w:eastAsia="仿宋" w:cs="仿宋"/>
          <w:color w:val="000000"/>
          <w:sz w:val="24"/>
          <w:szCs w:val="24"/>
          <w:lang w:eastAsia="zh-CN"/>
        </w:rPr>
        <w:t>项目方案</w:t>
      </w:r>
      <w:r>
        <w:rPr>
          <w:rFonts w:hint="eastAsia" w:ascii="仿宋" w:hAnsi="仿宋" w:eastAsia="仿宋" w:cs="仿宋"/>
          <w:color w:val="000000"/>
          <w:sz w:val="24"/>
          <w:szCs w:val="24"/>
        </w:rPr>
        <w:t>中提出保修期后的维保服务方案（主要相关维护费用等)。</w:t>
      </w:r>
    </w:p>
    <w:p>
      <w:pPr>
        <w:pStyle w:val="12"/>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七、其它要求及说明</w:t>
      </w:r>
    </w:p>
    <w:p>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1、质量要求：</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2"/>
          <w:sz w:val="24"/>
          <w:szCs w:val="24"/>
          <w:lang w:val="en-US" w:eastAsia="zh-CN" w:bidi="ar-SA"/>
        </w:rPr>
        <w:t>提供的产品必须达到相应的国家标准、本征集公告的所有技术要求及规定，且是完整的、全新的、高质量的和工艺精良的合格正品并列出所供货物的标准配置清单。若</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2"/>
          <w:sz w:val="24"/>
          <w:szCs w:val="24"/>
          <w:lang w:val="en-US" w:eastAsia="zh-CN" w:bidi="ar-SA"/>
        </w:rPr>
        <w:t>中标后所供应货物经产品质量检测机构认定质量不合格，造成的损失和后果由该供应商负全责。</w:t>
      </w:r>
    </w:p>
    <w:p>
      <w:pPr>
        <w:pStyle w:val="13"/>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w:t>
      </w:r>
      <w:r>
        <w:rPr>
          <w:rFonts w:hint="eastAsia" w:ascii="仿宋" w:hAnsi="仿宋" w:eastAsia="仿宋" w:cs="仿宋"/>
          <w:color w:val="000000"/>
          <w:kern w:val="0"/>
          <w:sz w:val="24"/>
          <w:szCs w:val="24"/>
          <w:lang w:eastAsia="zh-CN"/>
        </w:rPr>
        <w:t>供应商中标后</w:t>
      </w:r>
      <w:r>
        <w:rPr>
          <w:rFonts w:hint="eastAsia" w:ascii="仿宋" w:hAnsi="仿宋" w:eastAsia="仿宋" w:cs="仿宋"/>
          <w:color w:val="000000"/>
          <w:kern w:val="2"/>
          <w:sz w:val="24"/>
          <w:szCs w:val="24"/>
          <w:lang w:val="en-US" w:eastAsia="zh-CN" w:bidi="ar-SA"/>
        </w:rPr>
        <w:t>须提供完整的技术资料（包括产品说明书、用户手册、出厂明细表或装箱单、质量合格证及其它相关文件资料）。若所投货物为进口产品，还须提供海关进口报关单等资料）。</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w:t>
      </w:r>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2"/>
          <w:sz w:val="24"/>
          <w:szCs w:val="24"/>
          <w:lang w:val="en-US" w:eastAsia="zh-CN" w:bidi="ar-SA"/>
        </w:rPr>
        <w:t>必须承诺根据采购人的要求免费为采购人培训1-2名现场维保人员，并在项目方案里提供详细的培训方案。中标后应结合电梯的安装、调试及试运行过程，有计划地负责对采购方派出的管理、维保人员进行电梯的基本知识、使用、维护保养技术的现场培训，以保证售后电梯的良好运行状态。</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技术支持和售后服务：保修期届满后，承诺对设备进行终身维护，有责任在设备使用地对设备进行必要的维护或修理，将随时解答客户各类技术问题，向用户提供技术支援。接客户故障通知后，中标方应在4小时内赶到客户处进行处理。</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5、投标方均须负责设计、制造、供货、运输、安装、调试及运行、技术培训、备品备件、有关行业专管部门验收、售后服务、维修等工作。</w:t>
      </w:r>
    </w:p>
    <w:p>
      <w:pPr>
        <w:pStyle w:val="14"/>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6、验收:</w:t>
      </w:r>
      <w:r>
        <w:rPr>
          <w:rFonts w:hint="eastAsia" w:ascii="仿宋" w:hAnsi="仿宋" w:eastAsia="仿宋"/>
          <w:color w:val="000000"/>
          <w:kern w:val="0"/>
          <w:sz w:val="24"/>
          <w:szCs w:val="24"/>
        </w:rPr>
        <w:t>国家有强制性规定的，按国家规定执行，验收时</w:t>
      </w:r>
      <w:r>
        <w:rPr>
          <w:rFonts w:hint="eastAsia" w:ascii="仿宋" w:hAnsi="仿宋" w:eastAsia="仿宋"/>
          <w:color w:val="000000"/>
          <w:kern w:val="0"/>
          <w:sz w:val="24"/>
          <w:szCs w:val="24"/>
          <w:lang w:eastAsia="zh-CN"/>
        </w:rPr>
        <w:t>供应商必须</w:t>
      </w:r>
      <w:r>
        <w:rPr>
          <w:rFonts w:hint="eastAsia" w:ascii="仿宋" w:hAnsi="仿宋" w:eastAsia="仿宋"/>
          <w:color w:val="000000"/>
          <w:kern w:val="0"/>
          <w:sz w:val="24"/>
          <w:szCs w:val="24"/>
        </w:rPr>
        <w:t>提供具备特种设备检测资质的部门出具的检测报告，检测费</w:t>
      </w:r>
      <w:r>
        <w:rPr>
          <w:rFonts w:hint="eastAsia" w:ascii="仿宋" w:hAnsi="仿宋" w:eastAsia="仿宋"/>
          <w:color w:val="000000"/>
          <w:kern w:val="0"/>
          <w:sz w:val="24"/>
          <w:szCs w:val="24"/>
          <w:lang w:eastAsia="zh-CN"/>
        </w:rPr>
        <w:t>等相关费用</w:t>
      </w:r>
      <w:r>
        <w:rPr>
          <w:rFonts w:hint="eastAsia" w:ascii="仿宋" w:hAnsi="仿宋" w:eastAsia="仿宋"/>
          <w:color w:val="000000"/>
          <w:kern w:val="0"/>
          <w:sz w:val="24"/>
          <w:szCs w:val="24"/>
        </w:rPr>
        <w:t>由</w:t>
      </w:r>
      <w:r>
        <w:rPr>
          <w:rFonts w:hint="eastAsia" w:ascii="仿宋" w:hAnsi="仿宋" w:eastAsia="仿宋"/>
          <w:color w:val="000000"/>
          <w:kern w:val="0"/>
          <w:sz w:val="24"/>
          <w:szCs w:val="24"/>
          <w:lang w:eastAsia="zh-CN"/>
        </w:rPr>
        <w:t>供应商</w:t>
      </w:r>
      <w:r>
        <w:rPr>
          <w:rFonts w:hint="eastAsia" w:ascii="仿宋" w:hAnsi="仿宋" w:eastAsia="仿宋"/>
          <w:color w:val="000000"/>
          <w:kern w:val="0"/>
          <w:sz w:val="24"/>
          <w:szCs w:val="24"/>
        </w:rPr>
        <w:t>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7、</w:t>
      </w:r>
      <w:bookmarkStart w:id="5" w:name="_GoBack"/>
      <w:bookmarkEnd w:id="5"/>
      <w:r>
        <w:rPr>
          <w:rFonts w:hint="eastAsia" w:ascii="仿宋" w:hAnsi="仿宋" w:eastAsia="仿宋" w:cs="仿宋"/>
          <w:color w:val="000000"/>
          <w:kern w:val="0"/>
          <w:sz w:val="24"/>
          <w:szCs w:val="24"/>
          <w:lang w:eastAsia="zh-CN"/>
        </w:rPr>
        <w:t>供应商</w:t>
      </w:r>
      <w:r>
        <w:rPr>
          <w:rFonts w:hint="eastAsia" w:ascii="仿宋" w:hAnsi="仿宋" w:eastAsia="仿宋" w:cs="仿宋"/>
          <w:color w:val="000000"/>
          <w:kern w:val="2"/>
          <w:sz w:val="24"/>
          <w:szCs w:val="24"/>
          <w:lang w:val="en-US" w:eastAsia="zh-CN" w:bidi="ar-SA"/>
        </w:rPr>
        <w:t>在项目方案中提供其他有价值的服务的方案（如定期维修保养、人员培训、技术保障等。</w:t>
      </w:r>
    </w:p>
    <w:p>
      <w:pPr>
        <w:pStyle w:val="2"/>
        <w:keepNext w:val="0"/>
        <w:keepLines w:val="0"/>
        <w:pageBreakBefore w:val="0"/>
        <w:widowControl w:val="0"/>
        <w:kinsoku/>
        <w:wordWrap/>
        <w:overflowPunct/>
        <w:bidi w:val="0"/>
        <w:adjustRightInd/>
        <w:snapToGrid/>
        <w:spacing w:after="0" w:line="440" w:lineRule="exact"/>
        <w:ind w:left="0" w:leftChars="0" w:right="0" w:rightChars="0"/>
        <w:textAlignment w:val="auto"/>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八、项目方案（包括但不限于以下项目）</w:t>
      </w:r>
    </w:p>
    <w:tbl>
      <w:tblPr>
        <w:tblStyle w:val="10"/>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127"/>
        <w:gridCol w:w="2194"/>
        <w:gridCol w:w="858"/>
        <w:gridCol w:w="1469"/>
        <w:gridCol w:w="2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215" w:type="dxa"/>
            <w:vAlign w:val="center"/>
          </w:tcPr>
          <w:p>
            <w:pPr>
              <w:pStyle w:val="2"/>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品牌</w:t>
            </w:r>
          </w:p>
        </w:tc>
        <w:tc>
          <w:tcPr>
            <w:tcW w:w="1127" w:type="dxa"/>
            <w:vAlign w:val="center"/>
          </w:tcPr>
          <w:p>
            <w:pPr>
              <w:pStyle w:val="2"/>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型号</w:t>
            </w:r>
          </w:p>
        </w:tc>
        <w:tc>
          <w:tcPr>
            <w:tcW w:w="2194" w:type="dxa"/>
            <w:vAlign w:val="center"/>
          </w:tcPr>
          <w:p>
            <w:pPr>
              <w:pStyle w:val="2"/>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采购需求符合情况</w:t>
            </w:r>
          </w:p>
        </w:tc>
        <w:tc>
          <w:tcPr>
            <w:tcW w:w="858" w:type="dxa"/>
            <w:vAlign w:val="center"/>
          </w:tcPr>
          <w:p>
            <w:pPr>
              <w:pStyle w:val="2"/>
              <w:keepNext w:val="0"/>
              <w:keepLines w:val="0"/>
              <w:pageBreakBefore w:val="0"/>
              <w:widowControl w:val="0"/>
              <w:kinsoku/>
              <w:wordWrap/>
              <w:overflowPunct/>
              <w:bidi w:val="0"/>
              <w:adjustRightInd/>
              <w:snapToGrid/>
              <w:spacing w:after="0" w:line="440" w:lineRule="exact"/>
              <w:ind w:left="0" w:leftChars="0" w:right="0" w:rightChars="0" w:firstLine="0" w:firstLineChars="0"/>
              <w:jc w:val="both"/>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报 价</w:t>
            </w:r>
          </w:p>
        </w:tc>
        <w:tc>
          <w:tcPr>
            <w:tcW w:w="1469" w:type="dxa"/>
            <w:vAlign w:val="center"/>
          </w:tcPr>
          <w:p>
            <w:pPr>
              <w:pStyle w:val="2"/>
              <w:keepNext w:val="0"/>
              <w:keepLines w:val="0"/>
              <w:pageBreakBefore w:val="0"/>
              <w:widowControl w:val="0"/>
              <w:kinsoku/>
              <w:wordWrap/>
              <w:overflowPunct/>
              <w:bidi w:val="0"/>
              <w:adjustRightInd/>
              <w:snapToGrid/>
              <w:spacing w:after="0" w:line="440" w:lineRule="exact"/>
              <w:ind w:left="0" w:leftChars="0" w:right="0" w:rightChars="0" w:firstLine="0" w:firstLineChars="0"/>
              <w:jc w:val="both"/>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供应商名称</w:t>
            </w:r>
          </w:p>
        </w:tc>
        <w:tc>
          <w:tcPr>
            <w:tcW w:w="2173" w:type="dxa"/>
            <w:vAlign w:val="center"/>
          </w:tcPr>
          <w:p>
            <w:pPr>
              <w:pStyle w:val="2"/>
              <w:keepNext w:val="0"/>
              <w:keepLines w:val="0"/>
              <w:pageBreakBefore w:val="0"/>
              <w:widowControl w:val="0"/>
              <w:kinsoku/>
              <w:wordWrap/>
              <w:overflowPunct/>
              <w:bidi w:val="0"/>
              <w:adjustRightInd/>
              <w:snapToGrid/>
              <w:spacing w:after="0" w:line="440" w:lineRule="exact"/>
              <w:ind w:left="0" w:leftChars="0" w:right="0" w:rightChars="0" w:firstLine="0" w:firstLineChars="0"/>
              <w:jc w:val="both"/>
              <w:textAlignment w:val="auto"/>
              <w:rPr>
                <w:rFonts w:hint="eastAsia" w:ascii="仿宋" w:hAnsi="仿宋" w:eastAsia="仿宋" w:cs="仿宋"/>
                <w:b/>
                <w:bCs/>
                <w:color w:val="000000"/>
                <w:kern w:val="0"/>
                <w:sz w:val="24"/>
                <w:szCs w:val="24"/>
                <w:lang w:val="en-US" w:eastAsia="zh-CN" w:bidi="ar-SA"/>
              </w:rPr>
            </w:pPr>
            <w:r>
              <w:rPr>
                <w:rFonts w:hint="eastAsia" w:ascii="仿宋" w:hAnsi="仿宋" w:eastAsia="仿宋" w:cs="仿宋"/>
                <w:b/>
                <w:bCs/>
                <w:color w:val="000000"/>
                <w:kern w:val="0"/>
                <w:sz w:val="24"/>
                <w:szCs w:val="24"/>
                <w:lang w:val="en-US" w:eastAsia="zh-CN" w:bidi="ar-SA"/>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15" w:type="dxa"/>
            <w:vAlign w:val="center"/>
          </w:tcPr>
          <w:p>
            <w:pPr>
              <w:pStyle w:val="2"/>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color w:val="000000"/>
                <w:kern w:val="0"/>
                <w:sz w:val="24"/>
                <w:szCs w:val="24"/>
                <w:lang w:val="en-US" w:eastAsia="zh-CN" w:bidi="ar-SA"/>
              </w:rPr>
            </w:pPr>
          </w:p>
        </w:tc>
        <w:tc>
          <w:tcPr>
            <w:tcW w:w="1127" w:type="dxa"/>
            <w:vAlign w:val="center"/>
          </w:tcPr>
          <w:p>
            <w:pPr>
              <w:pStyle w:val="2"/>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color w:val="000000"/>
                <w:kern w:val="0"/>
                <w:sz w:val="24"/>
                <w:szCs w:val="24"/>
                <w:lang w:val="en-US" w:eastAsia="zh-CN" w:bidi="ar-SA"/>
              </w:rPr>
            </w:pPr>
          </w:p>
        </w:tc>
        <w:tc>
          <w:tcPr>
            <w:tcW w:w="2194" w:type="dxa"/>
            <w:vAlign w:val="center"/>
          </w:tcPr>
          <w:p>
            <w:pPr>
              <w:pStyle w:val="2"/>
              <w:keepNext w:val="0"/>
              <w:keepLines w:val="0"/>
              <w:pageBreakBefore w:val="0"/>
              <w:widowControl w:val="0"/>
              <w:kinsoku/>
              <w:wordWrap/>
              <w:overflowPunct/>
              <w:bidi w:val="0"/>
              <w:adjustRightInd/>
              <w:snapToGrid/>
              <w:spacing w:after="0" w:line="440" w:lineRule="exact"/>
              <w:ind w:left="0" w:leftChars="0" w:right="0" w:rightChars="0" w:firstLine="0" w:firstLineChars="0"/>
              <w:jc w:val="center"/>
              <w:textAlignment w:val="auto"/>
              <w:rPr>
                <w:rFonts w:hint="eastAsia" w:ascii="仿宋" w:hAnsi="仿宋" w:eastAsia="仿宋" w:cs="仿宋"/>
                <w:color w:val="000000"/>
                <w:kern w:val="0"/>
                <w:sz w:val="24"/>
                <w:szCs w:val="24"/>
                <w:lang w:val="en-US" w:eastAsia="zh-CN" w:bidi="ar-SA"/>
              </w:rPr>
            </w:pPr>
          </w:p>
        </w:tc>
        <w:tc>
          <w:tcPr>
            <w:tcW w:w="858" w:type="dxa"/>
            <w:vAlign w:val="center"/>
          </w:tcPr>
          <w:p>
            <w:pPr>
              <w:pStyle w:val="2"/>
              <w:keepNext w:val="0"/>
              <w:keepLines w:val="0"/>
              <w:pageBreakBefore w:val="0"/>
              <w:widowControl w:val="0"/>
              <w:kinsoku/>
              <w:wordWrap/>
              <w:overflowPunct/>
              <w:bidi w:val="0"/>
              <w:adjustRightInd/>
              <w:snapToGrid/>
              <w:spacing w:after="0" w:line="440" w:lineRule="exact"/>
              <w:ind w:right="0" w:rightChars="0"/>
              <w:jc w:val="center"/>
              <w:textAlignment w:val="auto"/>
              <w:rPr>
                <w:rFonts w:hint="eastAsia" w:ascii="仿宋" w:hAnsi="仿宋" w:eastAsia="仿宋" w:cs="仿宋"/>
                <w:color w:val="000000"/>
                <w:kern w:val="0"/>
                <w:sz w:val="24"/>
                <w:szCs w:val="24"/>
                <w:lang w:val="en-US" w:eastAsia="zh-CN" w:bidi="ar-SA"/>
              </w:rPr>
            </w:pPr>
          </w:p>
        </w:tc>
        <w:tc>
          <w:tcPr>
            <w:tcW w:w="1469" w:type="dxa"/>
            <w:vAlign w:val="center"/>
          </w:tcPr>
          <w:p>
            <w:pPr>
              <w:pStyle w:val="2"/>
              <w:keepNext w:val="0"/>
              <w:keepLines w:val="0"/>
              <w:pageBreakBefore w:val="0"/>
              <w:widowControl w:val="0"/>
              <w:kinsoku/>
              <w:wordWrap/>
              <w:overflowPunct/>
              <w:bidi w:val="0"/>
              <w:adjustRightInd/>
              <w:snapToGrid/>
              <w:spacing w:after="0" w:line="440" w:lineRule="exact"/>
              <w:ind w:right="0" w:rightChars="0"/>
              <w:jc w:val="center"/>
              <w:textAlignment w:val="auto"/>
              <w:rPr>
                <w:rFonts w:hint="eastAsia" w:ascii="仿宋" w:hAnsi="仿宋" w:eastAsia="仿宋" w:cs="仿宋"/>
                <w:color w:val="000000"/>
                <w:kern w:val="0"/>
                <w:sz w:val="24"/>
                <w:szCs w:val="24"/>
                <w:lang w:val="en-US" w:eastAsia="zh-CN" w:bidi="ar-SA"/>
              </w:rPr>
            </w:pPr>
          </w:p>
        </w:tc>
        <w:tc>
          <w:tcPr>
            <w:tcW w:w="2173" w:type="dxa"/>
            <w:vAlign w:val="center"/>
          </w:tcPr>
          <w:p>
            <w:pPr>
              <w:pStyle w:val="2"/>
              <w:keepNext w:val="0"/>
              <w:keepLines w:val="0"/>
              <w:pageBreakBefore w:val="0"/>
              <w:widowControl w:val="0"/>
              <w:kinsoku/>
              <w:wordWrap/>
              <w:overflowPunct/>
              <w:bidi w:val="0"/>
              <w:adjustRightInd/>
              <w:snapToGrid/>
              <w:spacing w:after="0" w:line="440" w:lineRule="exact"/>
              <w:ind w:right="0" w:rightChars="0"/>
              <w:jc w:val="center"/>
              <w:textAlignment w:val="auto"/>
              <w:rPr>
                <w:rFonts w:hint="eastAsia" w:ascii="仿宋" w:hAnsi="仿宋" w:eastAsia="仿宋" w:cs="仿宋"/>
                <w:color w:val="000000"/>
                <w:kern w:val="0"/>
                <w:sz w:val="24"/>
                <w:szCs w:val="24"/>
                <w:lang w:val="en-US" w:eastAsia="zh-CN" w:bidi="ar-SA"/>
              </w:rPr>
            </w:pPr>
          </w:p>
        </w:tc>
      </w:tr>
    </w:tbl>
    <w:p>
      <w:pPr>
        <w:pStyle w:val="2"/>
        <w:keepNext w:val="0"/>
        <w:keepLines w:val="0"/>
        <w:pageBreakBefore w:val="0"/>
        <w:widowControl w:val="0"/>
        <w:kinsoku/>
        <w:wordWrap/>
        <w:overflowPunct/>
        <w:bidi w:val="0"/>
        <w:adjustRightInd/>
        <w:snapToGrid/>
        <w:spacing w:after="0" w:line="440" w:lineRule="exact"/>
        <w:ind w:left="0" w:leftChars="0" w:right="0" w:rightChars="0"/>
        <w:textAlignment w:val="auto"/>
        <w:rPr>
          <w:rFonts w:hint="eastAsia" w:ascii="仿宋" w:hAnsi="仿宋" w:eastAsia="仿宋" w:cs="Times New Roman"/>
          <w:b/>
          <w:bCs/>
          <w:color w:val="000000"/>
          <w:kern w:val="0"/>
          <w:sz w:val="24"/>
          <w:szCs w:val="24"/>
          <w:lang w:val="en-US" w:eastAsia="zh-CN" w:bidi="ar-SA"/>
        </w:rPr>
      </w:pPr>
      <w:r>
        <w:rPr>
          <w:rFonts w:hint="eastAsia" w:ascii="仿宋" w:hAnsi="仿宋" w:eastAsia="仿宋" w:cs="Times New Roman"/>
          <w:b/>
          <w:bCs/>
          <w:color w:val="000000"/>
          <w:kern w:val="0"/>
          <w:sz w:val="24"/>
          <w:szCs w:val="24"/>
          <w:lang w:val="en-US" w:eastAsia="zh-CN" w:bidi="ar-SA"/>
        </w:rPr>
        <w:t>注：报价包括电梯采购、运输、安装、检测，质保期内的维保、检验、检测、保险等费用的包干价。</w:t>
      </w:r>
    </w:p>
    <w:sectPr>
      <w:pgSz w:w="11906" w:h="16838"/>
      <w:pgMar w:top="1157"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C2311"/>
    <w:rsid w:val="17EB5F5C"/>
    <w:rsid w:val="22AF7176"/>
    <w:rsid w:val="22CD3CF0"/>
    <w:rsid w:val="2C193CF2"/>
    <w:rsid w:val="407F576B"/>
    <w:rsid w:val="586523B1"/>
    <w:rsid w:val="5E7C2311"/>
    <w:rsid w:val="643936E6"/>
    <w:rsid w:val="648C7133"/>
    <w:rsid w:val="6C4771E2"/>
    <w:rsid w:val="720316AF"/>
    <w:rsid w:val="77665D71"/>
    <w:rsid w:val="7F32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Plain Text"/>
    <w:basedOn w:val="1"/>
    <w:next w:val="1"/>
    <w:qFormat/>
    <w:uiPriority w:val="0"/>
    <w:rPr>
      <w:rFonts w:ascii="宋体" w:hAnsi="Courier New" w:cs="Courier New"/>
      <w:szCs w:val="21"/>
    </w:rPr>
  </w:style>
  <w:style w:type="paragraph" w:styleId="6">
    <w:name w:val="toc 1"/>
    <w:basedOn w:val="7"/>
    <w:next w:val="1"/>
    <w:qFormat/>
    <w:uiPriority w:val="0"/>
    <w:pPr>
      <w:tabs>
        <w:tab w:val="right" w:leader="dot" w:pos="8834"/>
      </w:tabs>
      <w:spacing w:line="360" w:lineRule="auto"/>
    </w:pPr>
    <w:rPr>
      <w:rFonts w:ascii="宋体" w:hAnsi="宋体"/>
      <w:sz w:val="24"/>
    </w:rPr>
  </w:style>
  <w:style w:type="paragraph" w:styleId="7">
    <w:name w:val="index 1"/>
    <w:basedOn w:val="1"/>
    <w:next w:val="1"/>
    <w:qFormat/>
    <w:uiPriority w:val="0"/>
    <w:pPr>
      <w:spacing w:line="220" w:lineRule="exact"/>
      <w:jc w:val="center"/>
    </w:pPr>
    <w:rPr>
      <w:rFonts w:ascii="仿宋_GB2312" w:eastAsia="仿宋_GB2312"/>
      <w:szCs w:val="20"/>
    </w:rPr>
  </w:style>
  <w:style w:type="paragraph" w:styleId="8">
    <w:name w:val="toc 6"/>
    <w:basedOn w:val="1"/>
    <w:next w:val="1"/>
    <w:qFormat/>
    <w:uiPriority w:val="39"/>
    <w:pPr>
      <w:ind w:left="2100"/>
    </w:pPr>
    <w:rPr>
      <w:szCs w:val="20"/>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firstLine="420" w:firstLineChars="200"/>
    </w:pPr>
    <w:rPr>
      <w:kern w:val="0"/>
      <w:sz w:val="20"/>
    </w:rPr>
  </w:style>
  <w:style w:type="paragraph" w:customStyle="1" w:styleId="13">
    <w:name w:val="正文_0_0"/>
    <w:next w:val="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_2"/>
    <w:next w:val="8"/>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2021-09-30T08:43:00Z</dcterms:created>
  <dc:creator>Administrator</dc:creator>
  <cp:lastModifiedBy>Administrator</cp:lastModifiedBy>
  <dcterms:modified xsi:type="dcterms:W3CDTF">2021-10-08T04:44:12Z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C70200DEF91C465CB33C58D3302856F6</vt:lpwstr>
  </property>
</Properties>
</file>